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6E" w:rsidRDefault="0087226E" w:rsidP="00E34289">
      <w:pPr>
        <w:jc w:val="center"/>
        <w:rPr>
          <w:rFonts w:ascii="Arial" w:hAnsi="Arial" w:cs="Arial"/>
          <w:sz w:val="28"/>
          <w:szCs w:val="28"/>
        </w:rPr>
      </w:pPr>
    </w:p>
    <w:p w:rsidR="0087226E" w:rsidRDefault="0087226E" w:rsidP="00E34289">
      <w:pPr>
        <w:jc w:val="center"/>
        <w:rPr>
          <w:rFonts w:ascii="Arial" w:hAnsi="Arial" w:cs="Arial"/>
          <w:sz w:val="28"/>
          <w:szCs w:val="28"/>
        </w:rPr>
      </w:pPr>
    </w:p>
    <w:p w:rsidR="00805FFA" w:rsidRPr="004A5AD7" w:rsidRDefault="00502D49" w:rsidP="00E3428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E34289" w:rsidRPr="004A5AD7">
        <w:rPr>
          <w:rFonts w:ascii="Arial" w:hAnsi="Arial" w:cs="Arial"/>
          <w:sz w:val="28"/>
          <w:szCs w:val="28"/>
        </w:rPr>
        <w:t xml:space="preserve">BRAZLOŽENJE </w:t>
      </w:r>
      <w:r w:rsidR="00D556DA">
        <w:rPr>
          <w:rFonts w:ascii="Arial" w:hAnsi="Arial" w:cs="Arial"/>
          <w:sz w:val="28"/>
          <w:szCs w:val="28"/>
        </w:rPr>
        <w:t>2</w:t>
      </w:r>
      <w:r w:rsidR="00E34289" w:rsidRPr="004A5AD7">
        <w:rPr>
          <w:rFonts w:ascii="Arial" w:hAnsi="Arial" w:cs="Arial"/>
          <w:sz w:val="28"/>
          <w:szCs w:val="28"/>
        </w:rPr>
        <w:t xml:space="preserve">. IZMJENA I DOPUNA </w:t>
      </w:r>
    </w:p>
    <w:p w:rsidR="00E34289" w:rsidRPr="004A5AD7" w:rsidRDefault="009D1A57" w:rsidP="00E3428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PRORAČUNA GRADA BUZETA ZA 202</w:t>
      </w:r>
      <w:r w:rsidR="00F75996">
        <w:rPr>
          <w:rFonts w:ascii="Arial" w:hAnsi="Arial" w:cs="Arial"/>
          <w:sz w:val="28"/>
          <w:szCs w:val="28"/>
        </w:rPr>
        <w:t>1</w:t>
      </w:r>
      <w:r w:rsidR="00E34289" w:rsidRPr="004A5AD7">
        <w:rPr>
          <w:rFonts w:ascii="Arial" w:hAnsi="Arial" w:cs="Arial"/>
          <w:sz w:val="28"/>
          <w:szCs w:val="28"/>
        </w:rPr>
        <w:t>. GODINU</w:t>
      </w:r>
    </w:p>
    <w:p w:rsidR="004C1FBE" w:rsidRDefault="004C1FBE" w:rsidP="00E34289">
      <w:pPr>
        <w:jc w:val="both"/>
        <w:rPr>
          <w:rFonts w:ascii="Arial" w:hAnsi="Arial" w:cs="Arial"/>
        </w:rPr>
      </w:pPr>
    </w:p>
    <w:p w:rsidR="00FF27F9" w:rsidRDefault="00651C2E" w:rsidP="00E34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Proračun Grada Buzeta za 202</w:t>
      </w:r>
      <w:r w:rsidR="00F75996">
        <w:rPr>
          <w:rFonts w:ascii="Arial" w:hAnsi="Arial" w:cs="Arial"/>
        </w:rPr>
        <w:t>1</w:t>
      </w:r>
      <w:r w:rsidR="00F91C51">
        <w:rPr>
          <w:rFonts w:ascii="Arial" w:hAnsi="Arial" w:cs="Arial"/>
        </w:rPr>
        <w:t>. godinu i projekcije za 202</w:t>
      </w:r>
      <w:r w:rsidR="00F75996">
        <w:rPr>
          <w:rFonts w:ascii="Arial" w:hAnsi="Arial" w:cs="Arial"/>
        </w:rPr>
        <w:t>2</w:t>
      </w:r>
      <w:r w:rsidR="00F91C51">
        <w:rPr>
          <w:rFonts w:ascii="Arial" w:hAnsi="Arial" w:cs="Arial"/>
        </w:rPr>
        <w:t>. i 202</w:t>
      </w:r>
      <w:r w:rsidR="00F75996">
        <w:rPr>
          <w:rFonts w:ascii="Arial" w:hAnsi="Arial" w:cs="Arial"/>
        </w:rPr>
        <w:t>3</w:t>
      </w:r>
      <w:r w:rsidR="009B7AA5" w:rsidRPr="00E41ECD">
        <w:rPr>
          <w:rFonts w:ascii="Arial" w:hAnsi="Arial" w:cs="Arial"/>
        </w:rPr>
        <w:t>. godinu usvojeni su na sjednici Gradskog</w:t>
      </w:r>
      <w:r w:rsidR="00DE1127">
        <w:rPr>
          <w:rFonts w:ascii="Arial" w:hAnsi="Arial" w:cs="Arial"/>
        </w:rPr>
        <w:t xml:space="preserve"> vijeća Grada B</w:t>
      </w:r>
      <w:r w:rsidR="00F75996">
        <w:rPr>
          <w:rFonts w:ascii="Arial" w:hAnsi="Arial" w:cs="Arial"/>
        </w:rPr>
        <w:t>uzeta održanoj 17.</w:t>
      </w:r>
      <w:r>
        <w:rPr>
          <w:rFonts w:ascii="Arial" w:hAnsi="Arial" w:cs="Arial"/>
        </w:rPr>
        <w:t xml:space="preserve"> prosinca 20</w:t>
      </w:r>
      <w:r w:rsidR="00F75996">
        <w:rPr>
          <w:rFonts w:ascii="Arial" w:hAnsi="Arial" w:cs="Arial"/>
        </w:rPr>
        <w:t>20</w:t>
      </w:r>
      <w:r w:rsidR="009B7AA5" w:rsidRPr="00E41ECD">
        <w:rPr>
          <w:rFonts w:ascii="Arial" w:hAnsi="Arial" w:cs="Arial"/>
        </w:rPr>
        <w:t>. godine i objavljeni u ''Službenim no</w:t>
      </w:r>
      <w:r>
        <w:rPr>
          <w:rFonts w:ascii="Arial" w:hAnsi="Arial" w:cs="Arial"/>
        </w:rPr>
        <w:t xml:space="preserve">vinama Grada Buzeta'' broj </w:t>
      </w:r>
      <w:r w:rsidR="00F75996">
        <w:rPr>
          <w:rFonts w:ascii="Arial" w:hAnsi="Arial" w:cs="Arial"/>
        </w:rPr>
        <w:t>14</w:t>
      </w:r>
      <w:r>
        <w:rPr>
          <w:rFonts w:ascii="Arial" w:hAnsi="Arial" w:cs="Arial"/>
        </w:rPr>
        <w:t>/</w:t>
      </w:r>
      <w:r w:rsidR="00F75996">
        <w:rPr>
          <w:rFonts w:ascii="Arial" w:hAnsi="Arial" w:cs="Arial"/>
        </w:rPr>
        <w:t>20</w:t>
      </w:r>
      <w:r w:rsidR="009B7AA5" w:rsidRPr="00E41ECD">
        <w:rPr>
          <w:rFonts w:ascii="Arial" w:hAnsi="Arial" w:cs="Arial"/>
        </w:rPr>
        <w:t>.</w:t>
      </w:r>
      <w:r w:rsidR="002050B5">
        <w:rPr>
          <w:rFonts w:ascii="Arial" w:hAnsi="Arial" w:cs="Arial"/>
        </w:rPr>
        <w:t>).</w:t>
      </w:r>
      <w:r w:rsidR="00A75403">
        <w:rPr>
          <w:rFonts w:ascii="Arial" w:hAnsi="Arial" w:cs="Arial"/>
        </w:rPr>
        <w:t xml:space="preserve"> </w:t>
      </w:r>
      <w:r w:rsidR="009B7AA5" w:rsidRPr="00E41ECD">
        <w:rPr>
          <w:rFonts w:ascii="Arial" w:hAnsi="Arial" w:cs="Arial"/>
        </w:rPr>
        <w:t>Zakonom o proračunu (</w:t>
      </w:r>
      <w:r w:rsidR="0072611B">
        <w:rPr>
          <w:rFonts w:ascii="Arial" w:hAnsi="Arial" w:cs="Arial"/>
        </w:rPr>
        <w:t>''</w:t>
      </w:r>
      <w:r w:rsidR="009B7AA5" w:rsidRPr="00E41ECD">
        <w:rPr>
          <w:rFonts w:ascii="Arial" w:hAnsi="Arial" w:cs="Arial"/>
        </w:rPr>
        <w:t>Narodne novine</w:t>
      </w:r>
      <w:r w:rsidR="0072611B">
        <w:rPr>
          <w:rFonts w:ascii="Arial" w:hAnsi="Arial" w:cs="Arial"/>
        </w:rPr>
        <w:t>''</w:t>
      </w:r>
      <w:r w:rsidR="009B7AA5" w:rsidRPr="00E41ECD">
        <w:rPr>
          <w:rFonts w:ascii="Arial" w:hAnsi="Arial" w:cs="Arial"/>
        </w:rPr>
        <w:t xml:space="preserve">, broj 87/08, 136/12 i 15/15) utvrđeno je da, ako se tijekom proračunske godine povećaju odnosno smanje prihodi i rashodi, proračun </w:t>
      </w:r>
      <w:r w:rsidR="005610D9" w:rsidRPr="00E41ECD">
        <w:rPr>
          <w:rFonts w:ascii="Arial" w:hAnsi="Arial" w:cs="Arial"/>
        </w:rPr>
        <w:t xml:space="preserve">se mora uravnotežiti. </w:t>
      </w:r>
      <w:r w:rsidR="00FF27F9">
        <w:rPr>
          <w:rFonts w:ascii="Arial" w:hAnsi="Arial" w:cs="Arial"/>
        </w:rPr>
        <w:t>Prvim izmjenama i dopunama Proračuna Grada Buzeta za 202</w:t>
      </w:r>
      <w:r w:rsidR="00F75996">
        <w:rPr>
          <w:rFonts w:ascii="Arial" w:hAnsi="Arial" w:cs="Arial"/>
        </w:rPr>
        <w:t>1</w:t>
      </w:r>
      <w:r w:rsidR="00FF27F9">
        <w:rPr>
          <w:rFonts w:ascii="Arial" w:hAnsi="Arial" w:cs="Arial"/>
        </w:rPr>
        <w:t>. godinu</w:t>
      </w:r>
      <w:r w:rsidR="00BB197E">
        <w:rPr>
          <w:rFonts w:ascii="Arial" w:hAnsi="Arial" w:cs="Arial"/>
        </w:rPr>
        <w:t xml:space="preserve"> </w:t>
      </w:r>
      <w:r w:rsidR="001C4110">
        <w:rPr>
          <w:rFonts w:ascii="Arial" w:hAnsi="Arial" w:cs="Arial"/>
        </w:rPr>
        <w:t>(„Službene novine Grada Buzeta“</w:t>
      </w:r>
      <w:r w:rsidR="00BB197E">
        <w:rPr>
          <w:rFonts w:ascii="Arial" w:hAnsi="Arial" w:cs="Arial"/>
        </w:rPr>
        <w:t xml:space="preserve"> broj 0</w:t>
      </w:r>
      <w:r w:rsidR="00F75996">
        <w:rPr>
          <w:rFonts w:ascii="Arial" w:hAnsi="Arial" w:cs="Arial"/>
        </w:rPr>
        <w:t>2</w:t>
      </w:r>
      <w:r w:rsidR="00BB197E">
        <w:rPr>
          <w:rFonts w:ascii="Arial" w:hAnsi="Arial" w:cs="Arial"/>
        </w:rPr>
        <w:t>/2</w:t>
      </w:r>
      <w:r w:rsidR="00F75996">
        <w:rPr>
          <w:rFonts w:ascii="Arial" w:hAnsi="Arial" w:cs="Arial"/>
        </w:rPr>
        <w:t>1</w:t>
      </w:r>
      <w:r w:rsidR="00BB197E">
        <w:rPr>
          <w:rFonts w:ascii="Arial" w:hAnsi="Arial" w:cs="Arial"/>
        </w:rPr>
        <w:t xml:space="preserve"> ) </w:t>
      </w:r>
      <w:r w:rsidR="00FF27F9">
        <w:rPr>
          <w:rFonts w:ascii="Arial" w:hAnsi="Arial" w:cs="Arial"/>
        </w:rPr>
        <w:t xml:space="preserve"> prihodi i rashodi su povećani za </w:t>
      </w:r>
      <w:r w:rsidR="00FE5DDD" w:rsidRPr="00FE5DDD">
        <w:rPr>
          <w:rFonts w:ascii="Arial" w:hAnsi="Arial" w:cs="Arial"/>
        </w:rPr>
        <w:t>2.262.031,66 kuna odnosno za 3,67</w:t>
      </w:r>
      <w:r w:rsidR="00FE5DDD">
        <w:rPr>
          <w:rFonts w:ascii="Arial" w:hAnsi="Arial" w:cs="Arial"/>
        </w:rPr>
        <w:t xml:space="preserve"> % te</w:t>
      </w:r>
      <w:r w:rsidR="00FF27F9">
        <w:rPr>
          <w:rFonts w:ascii="Arial" w:hAnsi="Arial" w:cs="Arial"/>
        </w:rPr>
        <w:t xml:space="preserve"> Proračun iznosi </w:t>
      </w:r>
      <w:r w:rsidR="00FE5DDD">
        <w:rPr>
          <w:rFonts w:ascii="Arial" w:hAnsi="Arial" w:cs="Arial"/>
        </w:rPr>
        <w:t>63.872.251,14</w:t>
      </w:r>
      <w:r w:rsidR="00FF27F9">
        <w:rPr>
          <w:rFonts w:ascii="Arial" w:hAnsi="Arial" w:cs="Arial"/>
        </w:rPr>
        <w:t xml:space="preserve"> kuna.</w:t>
      </w:r>
    </w:p>
    <w:p w:rsidR="00FF27F9" w:rsidRDefault="00FF27F9" w:rsidP="00E34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Prijedlog 2. izmjena i dopuna Proračuna Grada Buzeta za 202</w:t>
      </w:r>
      <w:r w:rsidR="00FE5DDD">
        <w:rPr>
          <w:rFonts w:ascii="Arial" w:hAnsi="Arial" w:cs="Arial"/>
        </w:rPr>
        <w:t>1</w:t>
      </w:r>
      <w:r>
        <w:rPr>
          <w:rFonts w:ascii="Arial" w:hAnsi="Arial" w:cs="Arial"/>
        </w:rPr>
        <w:t>. godinu izrađen je prvenstveno radi:</w:t>
      </w:r>
    </w:p>
    <w:p w:rsidR="00927693" w:rsidRPr="00FA7C97" w:rsidRDefault="00FF27F9" w:rsidP="00FF27F9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FA7C97">
        <w:rPr>
          <w:rFonts w:ascii="Arial" w:hAnsi="Arial" w:cs="Arial"/>
        </w:rPr>
        <w:t>Usklađenje prihoda sa procjenom ostvarenja na osnovu realizacije za razdoblje siječanj-lipanj 202</w:t>
      </w:r>
      <w:r w:rsidR="00FE5DDD">
        <w:rPr>
          <w:rFonts w:ascii="Arial" w:hAnsi="Arial" w:cs="Arial"/>
        </w:rPr>
        <w:t>1</w:t>
      </w:r>
      <w:r w:rsidRPr="00FA7C97">
        <w:rPr>
          <w:rFonts w:ascii="Arial" w:hAnsi="Arial" w:cs="Arial"/>
        </w:rPr>
        <w:t>. godine</w:t>
      </w:r>
      <w:r w:rsidR="00927693" w:rsidRPr="00FA7C97">
        <w:rPr>
          <w:rFonts w:ascii="Arial" w:hAnsi="Arial" w:cs="Arial"/>
        </w:rPr>
        <w:t xml:space="preserve"> i tendencije ostvarenja do kraja proračunske godine,</w:t>
      </w:r>
    </w:p>
    <w:p w:rsidR="00927693" w:rsidRPr="00FA7C97" w:rsidRDefault="00927693" w:rsidP="00927693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A7C97">
        <w:rPr>
          <w:rFonts w:ascii="Arial" w:hAnsi="Arial" w:cs="Arial"/>
          <w:sz w:val="22"/>
          <w:szCs w:val="22"/>
        </w:rPr>
        <w:t xml:space="preserve">zahtjeva proračunskih sredstava za usklađenje sa njihovim prijedlozima financijskih planova za stavke financirane iz vlastitih izvora te zahtjeva za osiguranje dodatnih sredstava za sufinanciranje redovne djelatnosti, </w:t>
      </w:r>
    </w:p>
    <w:p w:rsidR="00927693" w:rsidRPr="00FA7C97" w:rsidRDefault="00927693" w:rsidP="00927693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A7C97">
        <w:rPr>
          <w:rFonts w:ascii="Arial" w:hAnsi="Arial" w:cs="Arial"/>
          <w:sz w:val="22"/>
          <w:szCs w:val="22"/>
        </w:rPr>
        <w:t>preraspodjele sredstava unutar pos</w:t>
      </w:r>
      <w:r w:rsidR="00C5241D">
        <w:rPr>
          <w:rFonts w:ascii="Arial" w:hAnsi="Arial" w:cs="Arial"/>
          <w:sz w:val="22"/>
          <w:szCs w:val="22"/>
        </w:rPr>
        <w:t xml:space="preserve">tojećih projekata i aktivnosti </w:t>
      </w:r>
      <w:r w:rsidRPr="00FA7C97">
        <w:rPr>
          <w:rFonts w:ascii="Arial" w:hAnsi="Arial" w:cs="Arial"/>
          <w:sz w:val="22"/>
          <w:szCs w:val="22"/>
        </w:rPr>
        <w:t xml:space="preserve"> </w:t>
      </w:r>
    </w:p>
    <w:p w:rsidR="004C1FBE" w:rsidRPr="00FF27F9" w:rsidRDefault="004C1FBE" w:rsidP="00927693">
      <w:pPr>
        <w:pStyle w:val="Odlomakpopisa"/>
        <w:jc w:val="both"/>
        <w:rPr>
          <w:rFonts w:ascii="Arial" w:hAnsi="Arial" w:cs="Arial"/>
        </w:rPr>
      </w:pPr>
    </w:p>
    <w:p w:rsidR="007C4E79" w:rsidRDefault="00927693" w:rsidP="007C4E79">
      <w:pPr>
        <w:jc w:val="both"/>
        <w:rPr>
          <w:rFonts w:ascii="Arial" w:hAnsi="Arial" w:cs="Arial"/>
        </w:rPr>
      </w:pPr>
      <w:r w:rsidRPr="00C5241D">
        <w:rPr>
          <w:rFonts w:ascii="Arial" w:eastAsia="Times New Roman" w:hAnsi="Arial" w:cs="Arial"/>
          <w:b/>
          <w:lang w:eastAsia="hr-HR"/>
        </w:rPr>
        <w:t>Predloženim 2. izmjenama i dopunama Proračuna Grada Buzeta za 202</w:t>
      </w:r>
      <w:r w:rsidR="00A772A1">
        <w:rPr>
          <w:rFonts w:ascii="Arial" w:eastAsia="Times New Roman" w:hAnsi="Arial" w:cs="Arial"/>
          <w:b/>
          <w:lang w:eastAsia="hr-HR"/>
        </w:rPr>
        <w:t>1</w:t>
      </w:r>
      <w:r w:rsidRPr="00C5241D">
        <w:rPr>
          <w:rFonts w:ascii="Arial" w:eastAsia="Times New Roman" w:hAnsi="Arial" w:cs="Arial"/>
          <w:b/>
          <w:lang w:eastAsia="hr-HR"/>
        </w:rPr>
        <w:t xml:space="preserve">. godinu, proračunski prihodi i rashodi </w:t>
      </w:r>
      <w:r w:rsidR="00A772A1">
        <w:rPr>
          <w:rFonts w:ascii="Arial" w:eastAsia="Times New Roman" w:hAnsi="Arial" w:cs="Arial"/>
          <w:b/>
          <w:lang w:eastAsia="hr-HR"/>
        </w:rPr>
        <w:t>povećavaju se za 1.169.136,13 kuna</w:t>
      </w:r>
      <w:r w:rsidR="007C4E79">
        <w:rPr>
          <w:rFonts w:ascii="Arial" w:eastAsia="Times New Roman" w:hAnsi="Arial" w:cs="Arial"/>
          <w:b/>
          <w:lang w:eastAsia="hr-HR"/>
        </w:rPr>
        <w:t xml:space="preserve"> odnosno za </w:t>
      </w:r>
      <w:r w:rsidR="00A772A1">
        <w:rPr>
          <w:rFonts w:ascii="Arial" w:eastAsia="Times New Roman" w:hAnsi="Arial" w:cs="Arial"/>
          <w:b/>
          <w:lang w:eastAsia="hr-HR"/>
        </w:rPr>
        <w:t>1,83</w:t>
      </w:r>
      <w:r w:rsidR="007C4E79">
        <w:rPr>
          <w:rFonts w:ascii="Arial" w:eastAsia="Times New Roman" w:hAnsi="Arial" w:cs="Arial"/>
          <w:b/>
          <w:lang w:eastAsia="hr-HR"/>
        </w:rPr>
        <w:t>%</w:t>
      </w:r>
      <w:r w:rsidRPr="00C5241D">
        <w:rPr>
          <w:rFonts w:ascii="Arial" w:eastAsia="Times New Roman" w:hAnsi="Arial" w:cs="Arial"/>
          <w:b/>
          <w:lang w:eastAsia="hr-HR"/>
        </w:rPr>
        <w:t xml:space="preserve"> pa sveukupno iznose </w:t>
      </w:r>
      <w:r w:rsidR="00A772A1" w:rsidRPr="00A772A1">
        <w:rPr>
          <w:rFonts w:ascii="Arial" w:eastAsia="Times New Roman" w:hAnsi="Arial" w:cs="Arial"/>
          <w:b/>
          <w:lang w:eastAsia="hr-HR"/>
        </w:rPr>
        <w:t>65</w:t>
      </w:r>
      <w:r w:rsidR="00A772A1" w:rsidRPr="00A772A1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.</w:t>
      </w:r>
      <w:r w:rsidR="00A772A1" w:rsidRPr="00A772A1">
        <w:rPr>
          <w:rFonts w:ascii="Arial" w:eastAsia="Times New Roman" w:hAnsi="Arial" w:cs="Arial"/>
          <w:b/>
          <w:lang w:eastAsia="hr-HR"/>
        </w:rPr>
        <w:t>041.387,27</w:t>
      </w:r>
      <w:r w:rsidR="00A772A1">
        <w:rPr>
          <w:rFonts w:ascii="Arial" w:eastAsia="Times New Roman" w:hAnsi="Arial" w:cs="Arial"/>
          <w:b/>
          <w:lang w:eastAsia="hr-HR"/>
        </w:rPr>
        <w:t xml:space="preserve"> </w:t>
      </w:r>
      <w:r w:rsidRPr="00C5241D">
        <w:rPr>
          <w:rFonts w:ascii="Arial" w:eastAsia="Times New Roman" w:hAnsi="Arial" w:cs="Arial"/>
          <w:b/>
          <w:lang w:eastAsia="hr-HR"/>
        </w:rPr>
        <w:t xml:space="preserve"> kuna.</w:t>
      </w:r>
      <w:r w:rsidRPr="00927693">
        <w:rPr>
          <w:rFonts w:ascii="Arial" w:eastAsia="Times New Roman" w:hAnsi="Arial" w:cs="Arial"/>
          <w:b/>
          <w:lang w:eastAsia="hr-HR"/>
        </w:rPr>
        <w:t xml:space="preserve"> </w:t>
      </w:r>
    </w:p>
    <w:p w:rsidR="00927693" w:rsidRPr="00927693" w:rsidRDefault="00927693" w:rsidP="00927693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927693" w:rsidRPr="00927693" w:rsidRDefault="00927693" w:rsidP="00927693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927693" w:rsidRPr="00C5241D" w:rsidRDefault="00927693" w:rsidP="0092769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5241D">
        <w:rPr>
          <w:rFonts w:ascii="Arial" w:eastAsia="Times New Roman" w:hAnsi="Arial" w:cs="Arial"/>
          <w:lang w:eastAsia="hr-HR"/>
        </w:rPr>
        <w:t>Izmjene Proračuna se sastoje od:</w:t>
      </w:r>
    </w:p>
    <w:p w:rsidR="00927693" w:rsidRPr="00C5241D" w:rsidRDefault="00927693" w:rsidP="0092769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C5241D">
        <w:rPr>
          <w:rFonts w:ascii="Arial" w:eastAsia="Times New Roman" w:hAnsi="Arial" w:cs="Arial"/>
          <w:lang w:eastAsia="hr-HR"/>
        </w:rPr>
        <w:t>Općeg dijela Proračuna kojeg čini Račun prihoda i rashoda,</w:t>
      </w:r>
    </w:p>
    <w:p w:rsidR="00927693" w:rsidRPr="00C5241D" w:rsidRDefault="00927693" w:rsidP="0092769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C5241D">
        <w:rPr>
          <w:rFonts w:ascii="Arial" w:eastAsia="Times New Roman" w:hAnsi="Arial" w:cs="Arial"/>
          <w:lang w:eastAsia="hr-HR"/>
        </w:rPr>
        <w:t>Posebnog dijela Proračuna u kojem su rashodi poslovanja i rashodi za nabavu nefinancijske imovine raspoređeni po nositeljima i korisnicima te prikazani po programima, aktivnostima, izvorima financiranja te funkcijskoj klasifikaciji,</w:t>
      </w:r>
    </w:p>
    <w:p w:rsidR="00927693" w:rsidRDefault="00927693" w:rsidP="0092769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C5241D">
        <w:rPr>
          <w:rFonts w:ascii="Arial" w:eastAsia="Times New Roman" w:hAnsi="Arial" w:cs="Arial"/>
          <w:lang w:eastAsia="hr-HR"/>
        </w:rPr>
        <w:t>Iz</w:t>
      </w:r>
      <w:r w:rsidR="00A47744">
        <w:rPr>
          <w:rFonts w:ascii="Arial" w:eastAsia="Times New Roman" w:hAnsi="Arial" w:cs="Arial"/>
          <w:lang w:eastAsia="hr-HR"/>
        </w:rPr>
        <w:t xml:space="preserve">mjene i dopune Plana razvojnih programa </w:t>
      </w:r>
    </w:p>
    <w:p w:rsidR="00F04B70" w:rsidRDefault="00F04B70" w:rsidP="00F04B7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F04B70" w:rsidRDefault="00F04B70" w:rsidP="00F04B7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F04B70" w:rsidRDefault="00F04B70" w:rsidP="00F04B7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F04B70" w:rsidRDefault="00F04B70" w:rsidP="00F04B7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F04B70" w:rsidRDefault="00F04B70" w:rsidP="00F04B7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F04B70" w:rsidRDefault="00F04B70" w:rsidP="00F04B7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F04B70" w:rsidRDefault="00F04B70" w:rsidP="00F04B7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F04B70" w:rsidRDefault="00F04B70" w:rsidP="00F04B7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F04B70" w:rsidRDefault="00F04B70" w:rsidP="00F04B7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F04B70" w:rsidRDefault="00F04B70" w:rsidP="00F04B7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F04B70" w:rsidRDefault="00F04B70" w:rsidP="00F04B7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F04B70" w:rsidRDefault="00F04B70" w:rsidP="00F04B7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F04B70" w:rsidRDefault="00F04B70" w:rsidP="00F04B7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F04B70" w:rsidRDefault="00F04B70" w:rsidP="00F04B7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F04B70" w:rsidRDefault="00F04B70" w:rsidP="00F04B7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F04B70" w:rsidRDefault="00F04B70" w:rsidP="00F04B7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F04B70" w:rsidRDefault="00F04B70" w:rsidP="00F04B70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 xml:space="preserve">       Račun prihoda i rashoda</w:t>
      </w:r>
    </w:p>
    <w:tbl>
      <w:tblPr>
        <w:tblW w:w="8505" w:type="dxa"/>
        <w:tblLook w:val="04A0" w:firstRow="1" w:lastRow="0" w:firstColumn="1" w:lastColumn="0" w:noHBand="0" w:noVBand="1"/>
      </w:tblPr>
      <w:tblGrid>
        <w:gridCol w:w="376"/>
        <w:gridCol w:w="96"/>
        <w:gridCol w:w="1520"/>
        <w:gridCol w:w="1240"/>
        <w:gridCol w:w="1021"/>
        <w:gridCol w:w="339"/>
        <w:gridCol w:w="1220"/>
        <w:gridCol w:w="300"/>
        <w:gridCol w:w="976"/>
        <w:gridCol w:w="1417"/>
      </w:tblGrid>
      <w:tr w:rsidR="00E4176E" w:rsidRPr="00E4176E" w:rsidTr="00F04B70">
        <w:trPr>
          <w:trHeight w:val="45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IZNOS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NOVI IZNOS</w:t>
            </w:r>
          </w:p>
        </w:tc>
      </w:tr>
      <w:tr w:rsidR="00E4176E" w:rsidRPr="00E4176E" w:rsidTr="00F04B70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A.</w:t>
            </w:r>
          </w:p>
        </w:tc>
        <w:tc>
          <w:tcPr>
            <w:tcW w:w="3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RAČUN PRIHODA I RASHODA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E4176E" w:rsidRPr="00E4176E" w:rsidTr="00F04B70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Prihodi poslovanja                                                                             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A41971" w:rsidP="00E417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48.159.992,78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A41971" w:rsidP="00E417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1.169.136,13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A41971" w:rsidP="00E417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49.329.128,91</w:t>
            </w:r>
          </w:p>
        </w:tc>
      </w:tr>
      <w:tr w:rsidR="00E4176E" w:rsidRPr="00E4176E" w:rsidTr="00F04B70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Prihodi od prodaje nefinancijske imovine                                                       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A41971" w:rsidP="00E417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551.500,00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A41971" w:rsidP="00E417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A41971" w:rsidP="00E417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551.500,00</w:t>
            </w:r>
          </w:p>
        </w:tc>
      </w:tr>
      <w:tr w:rsidR="00E4176E" w:rsidRPr="00E4176E" w:rsidTr="00F04B70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A41971" w:rsidP="00E417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34.863.459,24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A41971" w:rsidP="00E417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776.890,14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A41971" w:rsidP="00E417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35.640.349,38</w:t>
            </w:r>
          </w:p>
        </w:tc>
      </w:tr>
      <w:tr w:rsidR="00E4176E" w:rsidRPr="00E4176E" w:rsidTr="00F04B70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A41971" w:rsidP="00E417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28.486.291,90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A41971" w:rsidP="00E417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392.245,99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A41971" w:rsidP="00A419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28.878.537,89</w:t>
            </w:r>
          </w:p>
        </w:tc>
      </w:tr>
      <w:tr w:rsidR="00E4176E" w:rsidRPr="00E4176E" w:rsidTr="00F04B70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RAZLIKA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A41971" w:rsidP="00E417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-14.638.258,36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A41971" w:rsidP="00E417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-14.638.258,36</w:t>
            </w:r>
          </w:p>
        </w:tc>
      </w:tr>
      <w:tr w:rsidR="00E4176E" w:rsidRPr="00E4176E" w:rsidTr="00F04B70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E4176E" w:rsidRPr="00E4176E" w:rsidTr="00F04B70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B.</w:t>
            </w:r>
          </w:p>
        </w:tc>
        <w:tc>
          <w:tcPr>
            <w:tcW w:w="3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RAČUN ZADUŽIVANJA/FINANCIRANJA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E4176E" w:rsidRPr="00E4176E" w:rsidTr="00F04B70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Primici od financijske imovine i zaduživanja                                                   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A41971" w:rsidP="00E417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11.300.000,00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A41971" w:rsidP="00E417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11.300.000,00</w:t>
            </w:r>
          </w:p>
        </w:tc>
      </w:tr>
      <w:tr w:rsidR="00E4176E" w:rsidRPr="00E4176E" w:rsidTr="00F04B70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A41971" w:rsidP="00E417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522,500,00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A41971" w:rsidP="00E417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522.500,00</w:t>
            </w:r>
          </w:p>
        </w:tc>
      </w:tr>
      <w:tr w:rsidR="00E4176E" w:rsidRPr="00E4176E" w:rsidTr="00F04B70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NETO ZADUŽIVANJE/FINANCIRANJE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A41971" w:rsidP="00E417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10.777.500,00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A41971" w:rsidP="00E417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10.777.500,00</w:t>
            </w:r>
          </w:p>
        </w:tc>
      </w:tr>
      <w:tr w:rsidR="00E4176E" w:rsidRPr="00E4176E" w:rsidTr="00F04B70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E4176E" w:rsidRPr="00E4176E" w:rsidTr="00F04B70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C.</w:t>
            </w:r>
          </w:p>
        </w:tc>
        <w:tc>
          <w:tcPr>
            <w:tcW w:w="3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RASPOLOŽIVA SREDSTVA IZ PRETHODNIH GODINA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E4176E" w:rsidRPr="00E4176E" w:rsidTr="00F04B70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VIŠAK/MANJAK IZ PRETHODNIH GODINA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A41971" w:rsidP="00E417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3.860.758,36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A41971" w:rsidP="00E417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3.860.758,36</w:t>
            </w:r>
          </w:p>
        </w:tc>
      </w:tr>
      <w:tr w:rsidR="00E4176E" w:rsidRPr="00E4176E" w:rsidTr="00F04B70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E4176E" w:rsidRPr="00E4176E" w:rsidTr="00F04B70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E4176E" w:rsidRPr="00E4176E" w:rsidTr="00F04B70">
        <w:trPr>
          <w:trHeight w:val="45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VIŠAK/MANJAK + NETO ZADUŽIVANJA/FINANCIRANJA + RASPOLOŽIVA SREDSTVA IZ PRETHODNIH GODINA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417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E4176E" w:rsidRPr="00E4176E" w:rsidTr="00F04B70">
        <w:trPr>
          <w:gridAfter w:val="2"/>
          <w:wAfter w:w="2393" w:type="dxa"/>
          <w:trHeight w:val="255"/>
        </w:trPr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76E" w:rsidRPr="00E4176E" w:rsidRDefault="00E4176E" w:rsidP="00E41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E4176E" w:rsidRPr="00E4176E" w:rsidRDefault="00E4176E" w:rsidP="00E34289">
      <w:pPr>
        <w:jc w:val="both"/>
        <w:rPr>
          <w:rFonts w:ascii="Arial" w:hAnsi="Arial" w:cs="Arial"/>
          <w:b/>
          <w:sz w:val="18"/>
        </w:rPr>
      </w:pPr>
      <w:r w:rsidRPr="00E4176E">
        <w:rPr>
          <w:rFonts w:ascii="Arial" w:hAnsi="Arial" w:cs="Arial"/>
          <w:b/>
          <w:sz w:val="18"/>
        </w:rPr>
        <w:t xml:space="preserve">      REKAPITULACIJA</w:t>
      </w:r>
    </w:p>
    <w:tbl>
      <w:tblPr>
        <w:tblStyle w:val="Reetkatablice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1559"/>
        <w:gridCol w:w="1276"/>
        <w:gridCol w:w="1417"/>
      </w:tblGrid>
      <w:tr w:rsidR="001C60A7" w:rsidTr="001C60A7">
        <w:tc>
          <w:tcPr>
            <w:tcW w:w="3827" w:type="dxa"/>
          </w:tcPr>
          <w:p w:rsidR="001C60A7" w:rsidRPr="00E4176E" w:rsidRDefault="001C60A7" w:rsidP="00E34289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E4176E">
              <w:rPr>
                <w:rFonts w:ascii="Arial" w:hAnsi="Arial" w:cs="Arial"/>
                <w:b/>
                <w:sz w:val="18"/>
              </w:rPr>
              <w:t>PRIHODI</w:t>
            </w:r>
          </w:p>
        </w:tc>
        <w:tc>
          <w:tcPr>
            <w:tcW w:w="1559" w:type="dxa"/>
          </w:tcPr>
          <w:p w:rsidR="001C60A7" w:rsidRPr="001C60A7" w:rsidRDefault="00A41971" w:rsidP="00E34289">
            <w:pPr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63.872.251,14</w:t>
            </w:r>
          </w:p>
        </w:tc>
        <w:tc>
          <w:tcPr>
            <w:tcW w:w="1276" w:type="dxa"/>
          </w:tcPr>
          <w:p w:rsidR="001C60A7" w:rsidRPr="001C60A7" w:rsidRDefault="00A41971" w:rsidP="00E34289">
            <w:pPr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1.169.136,13</w:t>
            </w:r>
          </w:p>
        </w:tc>
        <w:tc>
          <w:tcPr>
            <w:tcW w:w="1417" w:type="dxa"/>
          </w:tcPr>
          <w:p w:rsidR="001C60A7" w:rsidRPr="001C60A7" w:rsidRDefault="00A41971" w:rsidP="00E34289">
            <w:pPr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65.041.387,27</w:t>
            </w:r>
          </w:p>
        </w:tc>
      </w:tr>
      <w:tr w:rsidR="001C60A7" w:rsidTr="001C60A7">
        <w:tc>
          <w:tcPr>
            <w:tcW w:w="3827" w:type="dxa"/>
          </w:tcPr>
          <w:p w:rsidR="001C60A7" w:rsidRPr="00E4176E" w:rsidRDefault="001C60A7" w:rsidP="00E34289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E4176E">
              <w:rPr>
                <w:rFonts w:ascii="Arial" w:hAnsi="Arial" w:cs="Arial"/>
                <w:b/>
                <w:sz w:val="18"/>
              </w:rPr>
              <w:t>RASHODI</w:t>
            </w:r>
          </w:p>
        </w:tc>
        <w:tc>
          <w:tcPr>
            <w:tcW w:w="1559" w:type="dxa"/>
          </w:tcPr>
          <w:p w:rsidR="001C60A7" w:rsidRPr="001C60A7" w:rsidRDefault="00A41971" w:rsidP="00E34289">
            <w:pPr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63.872.251,14</w:t>
            </w:r>
          </w:p>
        </w:tc>
        <w:tc>
          <w:tcPr>
            <w:tcW w:w="1276" w:type="dxa"/>
          </w:tcPr>
          <w:p w:rsidR="001C60A7" w:rsidRPr="001C60A7" w:rsidRDefault="00A41971" w:rsidP="00E34289">
            <w:pPr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1.169.136,13</w:t>
            </w:r>
          </w:p>
        </w:tc>
        <w:tc>
          <w:tcPr>
            <w:tcW w:w="1417" w:type="dxa"/>
          </w:tcPr>
          <w:p w:rsidR="001C60A7" w:rsidRPr="001C60A7" w:rsidRDefault="00A41971" w:rsidP="00E34289">
            <w:pPr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65.041.387,27</w:t>
            </w:r>
          </w:p>
        </w:tc>
      </w:tr>
    </w:tbl>
    <w:p w:rsidR="00927693" w:rsidRDefault="00927693" w:rsidP="00E34289">
      <w:pPr>
        <w:jc w:val="both"/>
        <w:rPr>
          <w:rFonts w:ascii="Arial" w:hAnsi="Arial" w:cs="Arial"/>
          <w:b/>
        </w:rPr>
      </w:pPr>
    </w:p>
    <w:p w:rsidR="00927693" w:rsidRDefault="00927693" w:rsidP="00E34289">
      <w:pPr>
        <w:jc w:val="both"/>
        <w:rPr>
          <w:rFonts w:ascii="Arial" w:hAnsi="Arial" w:cs="Arial"/>
          <w:b/>
        </w:rPr>
      </w:pPr>
    </w:p>
    <w:tbl>
      <w:tblPr>
        <w:tblW w:w="9040" w:type="dxa"/>
        <w:tblLook w:val="04A0" w:firstRow="1" w:lastRow="0" w:firstColumn="1" w:lastColumn="0" w:noHBand="0" w:noVBand="1"/>
      </w:tblPr>
      <w:tblGrid>
        <w:gridCol w:w="2200"/>
        <w:gridCol w:w="1960"/>
        <w:gridCol w:w="1960"/>
        <w:gridCol w:w="1960"/>
        <w:gridCol w:w="960"/>
      </w:tblGrid>
      <w:tr w:rsidR="00927693" w:rsidRPr="00927693" w:rsidTr="00927693">
        <w:trPr>
          <w:trHeight w:val="94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927693" w:rsidRPr="00927693" w:rsidRDefault="00927693" w:rsidP="00F04B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2769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Proračun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</w:t>
            </w:r>
            <w:r w:rsidR="00F04B7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</w:t>
            </w:r>
            <w:r w:rsidRPr="0092769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:rsidR="00927693" w:rsidRPr="00927693" w:rsidRDefault="00927693" w:rsidP="00F04B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2769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1. izmjene i dopune Proračuna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</w:t>
            </w:r>
            <w:r w:rsidR="00F04B7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</w:t>
            </w:r>
            <w:r w:rsidRPr="0092769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927693" w:rsidRPr="00927693" w:rsidRDefault="00927693" w:rsidP="00927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2769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povećanje / smanjenje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:rsidR="00927693" w:rsidRPr="00927693" w:rsidRDefault="00927693" w:rsidP="00F04B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2769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2. izmjene i dopune Proračuna 20</w:t>
            </w:r>
            <w:r w:rsidR="00F04B7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21</w:t>
            </w:r>
            <w:r w:rsidRPr="0092769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927693" w:rsidRPr="00927693" w:rsidRDefault="00927693" w:rsidP="00927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2769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%</w:t>
            </w:r>
          </w:p>
        </w:tc>
      </w:tr>
      <w:tr w:rsidR="00927693" w:rsidRPr="00927693" w:rsidTr="00927693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27693" w:rsidRPr="00927693" w:rsidRDefault="00F04B70" w:rsidP="00927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419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61.610.219,48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27693" w:rsidRPr="00927693" w:rsidRDefault="00F04B70" w:rsidP="00927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419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63.872.251,14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27693" w:rsidRPr="00927693" w:rsidRDefault="00A41971" w:rsidP="00A419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</w:t>
            </w:r>
            <w:r w:rsidR="00F04B70" w:rsidRPr="00A419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169.136</w:t>
            </w:r>
            <w:r w:rsidR="00F04B70" w:rsidRPr="00A419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27693" w:rsidRPr="00927693" w:rsidRDefault="00F04B70" w:rsidP="00927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419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65.041.387,27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927693" w:rsidRPr="00927693" w:rsidRDefault="00F04B70" w:rsidP="00F04B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1,83</w:t>
            </w:r>
          </w:p>
        </w:tc>
      </w:tr>
    </w:tbl>
    <w:p w:rsidR="00927693" w:rsidRDefault="00927693" w:rsidP="00E34289">
      <w:pPr>
        <w:jc w:val="both"/>
        <w:rPr>
          <w:rFonts w:ascii="Arial" w:hAnsi="Arial" w:cs="Arial"/>
          <w:b/>
        </w:rPr>
      </w:pPr>
    </w:p>
    <w:p w:rsidR="00927693" w:rsidRDefault="00927693" w:rsidP="00E34289">
      <w:pPr>
        <w:jc w:val="both"/>
        <w:rPr>
          <w:rFonts w:ascii="Arial" w:hAnsi="Arial" w:cs="Arial"/>
          <w:b/>
        </w:rPr>
      </w:pPr>
    </w:p>
    <w:p w:rsidR="00927693" w:rsidRPr="00927693" w:rsidRDefault="00927693" w:rsidP="0092769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927693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A – PRIHODI </w:t>
      </w:r>
    </w:p>
    <w:p w:rsidR="00927693" w:rsidRPr="00927693" w:rsidRDefault="00927693" w:rsidP="0092769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927693" w:rsidRPr="00927693" w:rsidRDefault="00927693" w:rsidP="009276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927693" w:rsidRPr="00927693" w:rsidRDefault="00927693" w:rsidP="0092769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27693">
        <w:rPr>
          <w:rFonts w:ascii="Arial" w:eastAsia="Times New Roman" w:hAnsi="Arial" w:cs="Arial"/>
          <w:lang w:eastAsia="hr-HR"/>
        </w:rPr>
        <w:t>U prijedlog 2. izmjena i dopu</w:t>
      </w:r>
      <w:r w:rsidR="00C5241D">
        <w:rPr>
          <w:rFonts w:ascii="Arial" w:eastAsia="Times New Roman" w:hAnsi="Arial" w:cs="Arial"/>
          <w:lang w:eastAsia="hr-HR"/>
        </w:rPr>
        <w:t>na Proračuna Grada Buzeta za 202</w:t>
      </w:r>
      <w:r w:rsidR="00A41971">
        <w:rPr>
          <w:rFonts w:ascii="Arial" w:eastAsia="Times New Roman" w:hAnsi="Arial" w:cs="Arial"/>
          <w:lang w:eastAsia="hr-HR"/>
        </w:rPr>
        <w:t>1</w:t>
      </w:r>
      <w:r w:rsidRPr="00927693">
        <w:rPr>
          <w:rFonts w:ascii="Arial" w:eastAsia="Times New Roman" w:hAnsi="Arial" w:cs="Arial"/>
          <w:lang w:eastAsia="hr-HR"/>
        </w:rPr>
        <w:t xml:space="preserve">. godinu uključeni su, osim Grada Buzeta i svi prihodi i rashodi za sva 4 proračunska korisnika Grada Buzeta (Javnu vatrogasnu postrojbu, Dječji vrtić ''Grdelin'', Pučko otvoreno učilište i Dom za starije i nemoćne osobe Buzet) te 11 Mjesnih odbora bez obzira što i dalje imaju svoje žiro-račune pa nema novčanog tijeka kroz gradski proračun. </w:t>
      </w:r>
    </w:p>
    <w:p w:rsidR="00927693" w:rsidRPr="00927693" w:rsidRDefault="00927693" w:rsidP="0092769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27693" w:rsidRPr="00927693" w:rsidRDefault="00927693" w:rsidP="0092769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27693">
        <w:rPr>
          <w:rFonts w:ascii="Arial" w:eastAsia="Times New Roman" w:hAnsi="Arial" w:cs="Arial"/>
          <w:lang w:eastAsia="hr-HR"/>
        </w:rPr>
        <w:t xml:space="preserve">Prema ovom prijedlogu Izmjena i dopuna Proračuna, prihodi Grada i proračunskih korisnika se povećavaju ili smanjuju za: </w:t>
      </w:r>
    </w:p>
    <w:p w:rsidR="00927693" w:rsidRPr="00C12896" w:rsidRDefault="00927693" w:rsidP="0092769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12896">
        <w:rPr>
          <w:rFonts w:ascii="Arial" w:eastAsia="Times New Roman" w:hAnsi="Arial" w:cs="Arial"/>
          <w:lang w:eastAsia="hr-HR"/>
        </w:rPr>
        <w:t>Grad Buzet …………………………</w:t>
      </w:r>
      <w:r w:rsidR="00DA41FD">
        <w:rPr>
          <w:rFonts w:ascii="Arial" w:eastAsia="Times New Roman" w:hAnsi="Arial" w:cs="Arial"/>
          <w:lang w:eastAsia="hr-HR"/>
        </w:rPr>
        <w:t>..</w:t>
      </w:r>
      <w:r w:rsidRPr="00C12896">
        <w:rPr>
          <w:rFonts w:ascii="Arial" w:eastAsia="Times New Roman" w:hAnsi="Arial" w:cs="Arial"/>
          <w:lang w:eastAsia="hr-HR"/>
        </w:rPr>
        <w:t>povećanje za</w:t>
      </w:r>
      <w:r w:rsidR="00DA41FD">
        <w:rPr>
          <w:rFonts w:ascii="Arial" w:eastAsia="Times New Roman" w:hAnsi="Arial" w:cs="Arial"/>
          <w:lang w:eastAsia="hr-HR"/>
        </w:rPr>
        <w:t xml:space="preserve"> 1.321.226,85</w:t>
      </w:r>
      <w:r w:rsidRPr="00C12896">
        <w:rPr>
          <w:rFonts w:ascii="Arial" w:eastAsia="Times New Roman" w:hAnsi="Arial" w:cs="Arial"/>
          <w:lang w:eastAsia="hr-HR"/>
        </w:rPr>
        <w:t>kuna</w:t>
      </w:r>
    </w:p>
    <w:p w:rsidR="00927693" w:rsidRPr="00C12896" w:rsidRDefault="00927693" w:rsidP="0092769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12896">
        <w:rPr>
          <w:rFonts w:ascii="Arial" w:eastAsia="Times New Roman" w:hAnsi="Arial" w:cs="Arial"/>
          <w:lang w:eastAsia="hr-HR"/>
        </w:rPr>
        <w:t>Mjesn</w:t>
      </w:r>
      <w:r w:rsidR="00C12896" w:rsidRPr="00C12896">
        <w:rPr>
          <w:rFonts w:ascii="Arial" w:eastAsia="Times New Roman" w:hAnsi="Arial" w:cs="Arial"/>
          <w:lang w:eastAsia="hr-HR"/>
        </w:rPr>
        <w:t>i odbori …...………………………………………</w:t>
      </w:r>
      <w:r w:rsidR="00DA41FD">
        <w:rPr>
          <w:rFonts w:ascii="Arial" w:eastAsia="Times New Roman" w:hAnsi="Arial" w:cs="Arial"/>
          <w:lang w:eastAsia="hr-HR"/>
        </w:rPr>
        <w:t>…..</w:t>
      </w:r>
      <w:r w:rsidR="00C12896" w:rsidRPr="00C12896">
        <w:rPr>
          <w:rFonts w:ascii="Arial" w:eastAsia="Times New Roman" w:hAnsi="Arial" w:cs="Arial"/>
          <w:lang w:eastAsia="hr-HR"/>
        </w:rPr>
        <w:t>….</w:t>
      </w:r>
      <w:r w:rsidRPr="00C12896">
        <w:rPr>
          <w:rFonts w:ascii="Arial" w:eastAsia="Times New Roman" w:hAnsi="Arial" w:cs="Arial"/>
          <w:lang w:eastAsia="hr-HR"/>
        </w:rPr>
        <w:t xml:space="preserve">0,00 kuna </w:t>
      </w:r>
    </w:p>
    <w:p w:rsidR="00927693" w:rsidRPr="00C12896" w:rsidRDefault="00927693" w:rsidP="0092769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12896">
        <w:rPr>
          <w:rFonts w:ascii="Arial" w:eastAsia="Times New Roman" w:hAnsi="Arial" w:cs="Arial"/>
          <w:lang w:eastAsia="hr-HR"/>
        </w:rPr>
        <w:t>Ja</w:t>
      </w:r>
      <w:r w:rsidR="00C12896" w:rsidRPr="00C12896">
        <w:rPr>
          <w:rFonts w:ascii="Arial" w:eastAsia="Times New Roman" w:hAnsi="Arial" w:cs="Arial"/>
          <w:lang w:eastAsia="hr-HR"/>
        </w:rPr>
        <w:t>vna vatrogasna postrojba …………</w:t>
      </w:r>
      <w:r w:rsidR="00DA41FD">
        <w:rPr>
          <w:rFonts w:ascii="Arial" w:eastAsia="Times New Roman" w:hAnsi="Arial" w:cs="Arial"/>
          <w:lang w:eastAsia="hr-HR"/>
        </w:rPr>
        <w:t>……………………….</w:t>
      </w:r>
      <w:r w:rsidR="00C12896" w:rsidRPr="00C12896">
        <w:rPr>
          <w:rFonts w:ascii="Arial" w:eastAsia="Times New Roman" w:hAnsi="Arial" w:cs="Arial"/>
          <w:lang w:eastAsia="hr-HR"/>
        </w:rPr>
        <w:t>0,00</w:t>
      </w:r>
      <w:r w:rsidRPr="00C12896">
        <w:rPr>
          <w:rFonts w:ascii="Arial" w:eastAsia="Times New Roman" w:hAnsi="Arial" w:cs="Arial"/>
          <w:lang w:eastAsia="hr-HR"/>
        </w:rPr>
        <w:t xml:space="preserve"> kuna</w:t>
      </w:r>
    </w:p>
    <w:p w:rsidR="00927693" w:rsidRPr="00C12896" w:rsidRDefault="00C12896" w:rsidP="0092769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12896">
        <w:rPr>
          <w:rFonts w:ascii="Arial" w:eastAsia="Times New Roman" w:hAnsi="Arial" w:cs="Arial"/>
          <w:lang w:eastAsia="hr-HR"/>
        </w:rPr>
        <w:t>Dječji vrtić Grdelin ……………………</w:t>
      </w:r>
      <w:r w:rsidR="00927693" w:rsidRPr="00C12896">
        <w:rPr>
          <w:rFonts w:ascii="Arial" w:eastAsia="Times New Roman" w:hAnsi="Arial" w:cs="Arial"/>
          <w:lang w:eastAsia="hr-HR"/>
        </w:rPr>
        <w:t>.</w:t>
      </w:r>
      <w:r w:rsidRPr="00C12896">
        <w:rPr>
          <w:rFonts w:ascii="Arial" w:eastAsia="Times New Roman" w:hAnsi="Arial" w:cs="Arial"/>
          <w:lang w:eastAsia="hr-HR"/>
        </w:rPr>
        <w:t>smanjenje</w:t>
      </w:r>
      <w:r w:rsidR="00927693" w:rsidRPr="00C12896">
        <w:rPr>
          <w:rFonts w:ascii="Arial" w:eastAsia="Times New Roman" w:hAnsi="Arial" w:cs="Arial"/>
          <w:lang w:eastAsia="hr-HR"/>
        </w:rPr>
        <w:t xml:space="preserve"> za </w:t>
      </w:r>
      <w:r w:rsidR="00DA41FD">
        <w:rPr>
          <w:rFonts w:ascii="Arial" w:eastAsia="Times New Roman" w:hAnsi="Arial" w:cs="Arial"/>
          <w:lang w:eastAsia="hr-HR"/>
        </w:rPr>
        <w:t xml:space="preserve">    6.080</w:t>
      </w:r>
      <w:r w:rsidR="00927693" w:rsidRPr="00C12896">
        <w:rPr>
          <w:rFonts w:ascii="Arial" w:eastAsia="Times New Roman" w:hAnsi="Arial" w:cs="Arial"/>
          <w:lang w:eastAsia="hr-HR"/>
        </w:rPr>
        <w:t>,00 kuna</w:t>
      </w:r>
    </w:p>
    <w:p w:rsidR="00927693" w:rsidRPr="00C12896" w:rsidRDefault="00C12896" w:rsidP="0092769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12896">
        <w:rPr>
          <w:rFonts w:ascii="Arial" w:eastAsia="Times New Roman" w:hAnsi="Arial" w:cs="Arial"/>
          <w:lang w:eastAsia="hr-HR"/>
        </w:rPr>
        <w:t>Pučko otvoreno učilište …………...…</w:t>
      </w:r>
      <w:r w:rsidR="00DA41FD">
        <w:rPr>
          <w:rFonts w:ascii="Arial" w:eastAsia="Times New Roman" w:hAnsi="Arial" w:cs="Arial"/>
          <w:lang w:eastAsia="hr-HR"/>
        </w:rPr>
        <w:t>.</w:t>
      </w:r>
      <w:r w:rsidR="00927693" w:rsidRPr="00C12896">
        <w:rPr>
          <w:rFonts w:ascii="Arial" w:eastAsia="Times New Roman" w:hAnsi="Arial" w:cs="Arial"/>
          <w:lang w:eastAsia="hr-HR"/>
        </w:rPr>
        <w:t xml:space="preserve">smanjenje za </w:t>
      </w:r>
      <w:r w:rsidR="00DA41FD">
        <w:rPr>
          <w:rFonts w:ascii="Arial" w:eastAsia="Times New Roman" w:hAnsi="Arial" w:cs="Arial"/>
          <w:lang w:eastAsia="hr-HR"/>
        </w:rPr>
        <w:t xml:space="preserve">  97.250</w:t>
      </w:r>
      <w:r w:rsidRPr="00C12896">
        <w:rPr>
          <w:rFonts w:ascii="Arial" w:eastAsia="Times New Roman" w:hAnsi="Arial" w:cs="Arial"/>
          <w:lang w:eastAsia="hr-HR"/>
        </w:rPr>
        <w:t>,00</w:t>
      </w:r>
      <w:r w:rsidR="00927693" w:rsidRPr="00C12896">
        <w:rPr>
          <w:rFonts w:ascii="Arial" w:eastAsia="Times New Roman" w:hAnsi="Arial" w:cs="Arial"/>
          <w:lang w:eastAsia="hr-HR"/>
        </w:rPr>
        <w:t xml:space="preserve"> kune</w:t>
      </w:r>
    </w:p>
    <w:p w:rsidR="00927693" w:rsidRDefault="00C12896" w:rsidP="0092769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12896">
        <w:rPr>
          <w:rFonts w:ascii="Arial" w:eastAsia="Times New Roman" w:hAnsi="Arial" w:cs="Arial"/>
          <w:lang w:eastAsia="hr-HR"/>
        </w:rPr>
        <w:t>Dom za starije osobe ………….……..smanjenje</w:t>
      </w:r>
      <w:r w:rsidR="00927693" w:rsidRPr="00C12896">
        <w:rPr>
          <w:rFonts w:ascii="Arial" w:eastAsia="Times New Roman" w:hAnsi="Arial" w:cs="Arial"/>
          <w:lang w:eastAsia="hr-HR"/>
        </w:rPr>
        <w:t xml:space="preserve"> za </w:t>
      </w:r>
      <w:r w:rsidR="00DA41FD">
        <w:rPr>
          <w:rFonts w:ascii="Arial" w:eastAsia="Times New Roman" w:hAnsi="Arial" w:cs="Arial"/>
          <w:lang w:eastAsia="hr-HR"/>
        </w:rPr>
        <w:t xml:space="preserve">   48.760,72 kune</w:t>
      </w:r>
    </w:p>
    <w:p w:rsidR="00684A91" w:rsidRDefault="00684A91" w:rsidP="0092769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84A91" w:rsidRPr="00927693" w:rsidRDefault="00684A91" w:rsidP="0092769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27693" w:rsidRDefault="00927693" w:rsidP="0092769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F1595" w:rsidRPr="006F1595" w:rsidRDefault="006F1595" w:rsidP="006F1595">
      <w:pPr>
        <w:jc w:val="both"/>
        <w:rPr>
          <w:rFonts w:ascii="Arial" w:hAnsi="Arial" w:cs="Arial"/>
          <w:b/>
          <w:i/>
        </w:rPr>
      </w:pPr>
      <w:r w:rsidRPr="006F1595">
        <w:rPr>
          <w:rFonts w:ascii="Arial" w:hAnsi="Arial" w:cs="Arial"/>
          <w:b/>
          <w:i/>
        </w:rPr>
        <w:t xml:space="preserve">Prikaz povećanja/smanjenja osnovnih skupina prihoda i primitaka </w:t>
      </w:r>
    </w:p>
    <w:tbl>
      <w:tblPr>
        <w:tblW w:w="9972" w:type="dxa"/>
        <w:tblInd w:w="-10" w:type="dxa"/>
        <w:tblLook w:val="04A0" w:firstRow="1" w:lastRow="0" w:firstColumn="1" w:lastColumn="0" w:noHBand="0" w:noVBand="1"/>
      </w:tblPr>
      <w:tblGrid>
        <w:gridCol w:w="856"/>
        <w:gridCol w:w="4740"/>
        <w:gridCol w:w="1496"/>
        <w:gridCol w:w="1384"/>
        <w:gridCol w:w="1496"/>
      </w:tblGrid>
      <w:tr w:rsidR="001B0D3C" w:rsidRPr="001B0D3C" w:rsidTr="006F1595">
        <w:trPr>
          <w:trHeight w:val="54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B0D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BROJ</w:t>
            </w:r>
          </w:p>
        </w:tc>
        <w:tc>
          <w:tcPr>
            <w:tcW w:w="4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B0D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VRSTA PRIHODA / PRIMITAKA</w:t>
            </w:r>
          </w:p>
        </w:tc>
        <w:tc>
          <w:tcPr>
            <w:tcW w:w="1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B0D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PLANIRANO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proofErr w:type="spellStart"/>
            <w:r w:rsidRPr="001B0D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poveć</w:t>
            </w:r>
            <w:proofErr w:type="spellEnd"/>
            <w:r w:rsidRPr="001B0D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</w:t>
            </w:r>
            <w:proofErr w:type="spellStart"/>
            <w:r w:rsidRPr="001B0D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smanj</w:t>
            </w:r>
            <w:proofErr w:type="spellEnd"/>
          </w:p>
        </w:tc>
        <w:tc>
          <w:tcPr>
            <w:tcW w:w="1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B0D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NOVI IZNOS</w:t>
            </w:r>
          </w:p>
        </w:tc>
      </w:tr>
      <w:tr w:rsidR="001B0D3C" w:rsidRPr="001B0D3C" w:rsidTr="006F1595">
        <w:trPr>
          <w:trHeight w:val="270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B0D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KONTA</w:t>
            </w:r>
          </w:p>
        </w:tc>
        <w:tc>
          <w:tcPr>
            <w:tcW w:w="4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1B0D3C" w:rsidRPr="001B0D3C" w:rsidTr="006F1595">
        <w:trPr>
          <w:trHeight w:val="270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SVEUKUPNO PRIHODI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63.872.251,14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1.169.136,13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65.041.387,27</w:t>
            </w:r>
          </w:p>
        </w:tc>
      </w:tr>
      <w:tr w:rsidR="001B0D3C" w:rsidRPr="001B0D3C" w:rsidTr="006F1595">
        <w:trPr>
          <w:trHeight w:val="270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48.159.992,78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1.169.136,13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49.329.128,91</w:t>
            </w:r>
          </w:p>
        </w:tc>
      </w:tr>
      <w:tr w:rsidR="001B0D3C" w:rsidRPr="001B0D3C" w:rsidTr="006F1595">
        <w:trPr>
          <w:trHeight w:val="270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12.748.060,00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1.307.000,00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14.055.060,00</w:t>
            </w:r>
          </w:p>
        </w:tc>
      </w:tr>
      <w:tr w:rsidR="001B0D3C" w:rsidRPr="001B0D3C" w:rsidTr="006F1595">
        <w:trPr>
          <w:trHeight w:val="600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21.898.659,29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-92.560,95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21.806.098,34</w:t>
            </w:r>
          </w:p>
        </w:tc>
      </w:tr>
      <w:tr w:rsidR="001B0D3C" w:rsidRPr="001B0D3C" w:rsidTr="006F1595">
        <w:trPr>
          <w:trHeight w:val="270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1.159.688,00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39.920,00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1.199.608,00</w:t>
            </w:r>
          </w:p>
        </w:tc>
      </w:tr>
      <w:tr w:rsidR="001B0D3C" w:rsidRPr="001B0D3C" w:rsidTr="006F1595">
        <w:trPr>
          <w:trHeight w:val="58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10.398.035,49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-95.222,92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10.302.812,57</w:t>
            </w:r>
          </w:p>
        </w:tc>
      </w:tr>
      <w:tr w:rsidR="001B0D3C" w:rsidRPr="001B0D3C" w:rsidTr="006F1595">
        <w:trPr>
          <w:trHeight w:val="600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1.955.550,00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1.965.550,00</w:t>
            </w:r>
          </w:p>
        </w:tc>
      </w:tr>
      <w:tr w:rsidR="001B0D3C" w:rsidRPr="001B0D3C" w:rsidTr="006F1595">
        <w:trPr>
          <w:trHeight w:val="270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1B0D3C" w:rsidRPr="001B0D3C" w:rsidTr="006F1595">
        <w:trPr>
          <w:trHeight w:val="270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551.500,00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551.500,00</w:t>
            </w:r>
          </w:p>
        </w:tc>
      </w:tr>
      <w:tr w:rsidR="001B0D3C" w:rsidRPr="001B0D3C" w:rsidTr="006F1595">
        <w:trPr>
          <w:trHeight w:val="270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Prihodi od prodaje </w:t>
            </w:r>
            <w:proofErr w:type="spellStart"/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neproizvedene</w:t>
            </w:r>
            <w:proofErr w:type="spellEnd"/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</w:tr>
      <w:tr w:rsidR="001B0D3C" w:rsidRPr="001B0D3C" w:rsidTr="006F1595">
        <w:trPr>
          <w:trHeight w:val="270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prodaje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351.500,00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351.500,00</w:t>
            </w:r>
          </w:p>
        </w:tc>
      </w:tr>
      <w:tr w:rsidR="001B0D3C" w:rsidRPr="001B0D3C" w:rsidTr="006F1595">
        <w:trPr>
          <w:trHeight w:val="270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11.300.000,00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11.300.000,00</w:t>
            </w:r>
          </w:p>
        </w:tc>
      </w:tr>
      <w:tr w:rsidR="001B0D3C" w:rsidRPr="001B0D3C" w:rsidTr="006F1595">
        <w:trPr>
          <w:trHeight w:val="270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Primici od zaduživanja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11.300.000,00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11.300.000,00</w:t>
            </w:r>
          </w:p>
        </w:tc>
      </w:tr>
      <w:tr w:rsidR="001B0D3C" w:rsidRPr="001B0D3C" w:rsidTr="006F1595">
        <w:trPr>
          <w:trHeight w:val="270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Vlastiti izvori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3.860.758,36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3.860.758,36</w:t>
            </w:r>
          </w:p>
        </w:tc>
      </w:tr>
      <w:tr w:rsidR="001B0D3C" w:rsidRPr="001B0D3C" w:rsidTr="006F1595">
        <w:trPr>
          <w:trHeight w:val="270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Rezultat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3.860.758,36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D3C" w:rsidRPr="001B0D3C" w:rsidRDefault="001B0D3C" w:rsidP="001B0D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0D3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3.860.758,36</w:t>
            </w:r>
          </w:p>
        </w:tc>
      </w:tr>
    </w:tbl>
    <w:p w:rsidR="007A5E9F" w:rsidRDefault="007A5E9F" w:rsidP="0092769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A5E9F" w:rsidRPr="00927693" w:rsidRDefault="007A5E9F" w:rsidP="0092769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27693" w:rsidRPr="00927693" w:rsidRDefault="00927693" w:rsidP="0092769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27693">
        <w:rPr>
          <w:rFonts w:ascii="Arial" w:eastAsia="Times New Roman" w:hAnsi="Arial" w:cs="Arial"/>
          <w:b/>
          <w:lang w:eastAsia="hr-HR"/>
        </w:rPr>
        <w:t xml:space="preserve">Prihodi od poreza </w:t>
      </w:r>
      <w:r w:rsidRPr="00927693">
        <w:rPr>
          <w:rFonts w:ascii="Arial" w:eastAsia="Times New Roman" w:hAnsi="Arial" w:cs="Arial"/>
          <w:lang w:eastAsia="hr-HR"/>
        </w:rPr>
        <w:t xml:space="preserve">– predlaže se </w:t>
      </w:r>
      <w:r w:rsidR="00B542BC">
        <w:rPr>
          <w:rFonts w:ascii="Arial" w:eastAsia="Times New Roman" w:hAnsi="Arial" w:cs="Arial"/>
          <w:lang w:eastAsia="hr-HR"/>
        </w:rPr>
        <w:t>povećanje</w:t>
      </w:r>
      <w:r w:rsidRPr="00927693">
        <w:rPr>
          <w:rFonts w:ascii="Arial" w:eastAsia="Times New Roman" w:hAnsi="Arial" w:cs="Arial"/>
          <w:lang w:eastAsia="hr-HR"/>
        </w:rPr>
        <w:t xml:space="preserve"> za </w:t>
      </w:r>
      <w:r w:rsidR="00B542BC">
        <w:rPr>
          <w:rFonts w:ascii="Arial" w:eastAsia="Times New Roman" w:hAnsi="Arial" w:cs="Arial"/>
          <w:lang w:eastAsia="hr-HR"/>
        </w:rPr>
        <w:t>1.307.000</w:t>
      </w:r>
      <w:r w:rsidRPr="00927693">
        <w:rPr>
          <w:rFonts w:ascii="Arial" w:eastAsia="Times New Roman" w:hAnsi="Arial" w:cs="Arial"/>
          <w:lang w:eastAsia="hr-HR"/>
        </w:rPr>
        <w:t xml:space="preserve">,00 kuna na osnovu dosadašnjeg ostvarenja u ovoj godini i procjeni </w:t>
      </w:r>
      <w:r w:rsidR="002F7C1A">
        <w:rPr>
          <w:rFonts w:ascii="Arial" w:eastAsia="Times New Roman" w:hAnsi="Arial" w:cs="Arial"/>
          <w:lang w:eastAsia="hr-HR"/>
        </w:rPr>
        <w:t xml:space="preserve">realizacije </w:t>
      </w:r>
      <w:r w:rsidRPr="00927693">
        <w:rPr>
          <w:rFonts w:ascii="Arial" w:eastAsia="Times New Roman" w:hAnsi="Arial" w:cs="Arial"/>
          <w:lang w:eastAsia="hr-HR"/>
        </w:rPr>
        <w:t xml:space="preserve">do kraja godine. </w:t>
      </w:r>
    </w:p>
    <w:p w:rsidR="00927693" w:rsidRPr="00927693" w:rsidRDefault="00927693" w:rsidP="0092769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D1085" w:rsidRPr="000D1085" w:rsidRDefault="00927693" w:rsidP="000D1085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927693">
        <w:rPr>
          <w:rFonts w:ascii="Arial" w:eastAsia="Times New Roman" w:hAnsi="Arial" w:cs="Arial"/>
          <w:b/>
          <w:lang w:eastAsia="hr-HR"/>
        </w:rPr>
        <w:t>Pomoći proračunu iz drugih proračuna</w:t>
      </w:r>
      <w:r w:rsidRPr="00927693">
        <w:rPr>
          <w:rFonts w:ascii="Arial" w:eastAsia="Times New Roman" w:hAnsi="Arial" w:cs="Arial"/>
          <w:lang w:eastAsia="hr-HR"/>
        </w:rPr>
        <w:t xml:space="preserve"> – predlaže se </w:t>
      </w:r>
      <w:r w:rsidR="000D1085">
        <w:rPr>
          <w:rFonts w:ascii="Arial" w:eastAsia="Times New Roman" w:hAnsi="Arial" w:cs="Arial"/>
          <w:lang w:eastAsia="hr-HR"/>
        </w:rPr>
        <w:t>smanjenje za 92.560,95 kuna.</w:t>
      </w:r>
      <w:r w:rsidR="00AE2665">
        <w:rPr>
          <w:rFonts w:ascii="Arial" w:eastAsia="Times New Roman" w:hAnsi="Arial" w:cs="Arial"/>
          <w:lang w:eastAsia="hr-HR"/>
        </w:rPr>
        <w:t xml:space="preserve"> </w:t>
      </w:r>
      <w:r w:rsidR="000D1085">
        <w:rPr>
          <w:rFonts w:ascii="Arial" w:eastAsia="Times New Roman" w:hAnsi="Arial" w:cs="Arial"/>
          <w:lang w:eastAsia="hr-HR"/>
        </w:rPr>
        <w:t xml:space="preserve">Najveći dio se odnosi na </w:t>
      </w:r>
      <w:r w:rsidR="000D1085">
        <w:rPr>
          <w:rFonts w:ascii="Arial" w:hAnsi="Arial" w:cs="Arial"/>
        </w:rPr>
        <w:t>s</w:t>
      </w:r>
      <w:r w:rsidR="000D1085" w:rsidRPr="00853259">
        <w:rPr>
          <w:rFonts w:ascii="Arial" w:hAnsi="Arial" w:cs="Arial"/>
        </w:rPr>
        <w:t xml:space="preserve">redstva </w:t>
      </w:r>
      <w:r w:rsidR="000D1085">
        <w:rPr>
          <w:rFonts w:ascii="Arial" w:hAnsi="Arial" w:cs="Arial"/>
        </w:rPr>
        <w:t xml:space="preserve">koja </w:t>
      </w:r>
      <w:r w:rsidR="000D1085" w:rsidRPr="00853259">
        <w:rPr>
          <w:rFonts w:ascii="Arial" w:hAnsi="Arial" w:cs="Arial"/>
        </w:rPr>
        <w:t>su</w:t>
      </w:r>
      <w:r w:rsidR="000D1085">
        <w:t xml:space="preserve"> </w:t>
      </w:r>
      <w:r w:rsidR="000D1085" w:rsidRPr="00853259">
        <w:rPr>
          <w:rFonts w:ascii="Arial" w:hAnsi="Arial" w:cs="Arial"/>
        </w:rPr>
        <w:t>bila planirana temeljem prijav</w:t>
      </w:r>
      <w:r w:rsidR="000D1085">
        <w:rPr>
          <w:rFonts w:ascii="Arial" w:hAnsi="Arial" w:cs="Arial"/>
        </w:rPr>
        <w:t>ljenih</w:t>
      </w:r>
      <w:r w:rsidR="000D1085" w:rsidRPr="00853259">
        <w:rPr>
          <w:rFonts w:ascii="Arial" w:hAnsi="Arial" w:cs="Arial"/>
        </w:rPr>
        <w:t xml:space="preserve"> aktivnosti na natječaje Ministarstva </w:t>
      </w:r>
      <w:r w:rsidR="000D1085">
        <w:rPr>
          <w:rFonts w:ascii="Arial" w:hAnsi="Arial" w:cs="Arial"/>
        </w:rPr>
        <w:t>i</w:t>
      </w:r>
      <w:r w:rsidR="000D1085" w:rsidRPr="00853259">
        <w:rPr>
          <w:rFonts w:ascii="Arial" w:hAnsi="Arial" w:cs="Arial"/>
        </w:rPr>
        <w:t xml:space="preserve"> IŽ</w:t>
      </w:r>
      <w:r w:rsidR="000D1085">
        <w:rPr>
          <w:rFonts w:ascii="Arial" w:hAnsi="Arial" w:cs="Arial"/>
        </w:rPr>
        <w:t xml:space="preserve"> </w:t>
      </w:r>
      <w:r w:rsidR="000D1085" w:rsidRPr="00853259">
        <w:rPr>
          <w:rFonts w:ascii="Arial" w:hAnsi="Arial" w:cs="Arial"/>
        </w:rPr>
        <w:t>za mobilnu aplikaciju</w:t>
      </w:r>
      <w:r w:rsidR="000D1085">
        <w:rPr>
          <w:rFonts w:ascii="Arial" w:hAnsi="Arial" w:cs="Arial"/>
        </w:rPr>
        <w:t xml:space="preserve"> za </w:t>
      </w:r>
      <w:r w:rsidR="000D1085" w:rsidRPr="00853259">
        <w:rPr>
          <w:rFonts w:ascii="Arial" w:hAnsi="Arial" w:cs="Arial"/>
        </w:rPr>
        <w:t xml:space="preserve">Muzej </w:t>
      </w:r>
      <w:r w:rsidR="000D1085">
        <w:rPr>
          <w:rFonts w:ascii="Arial" w:hAnsi="Arial" w:cs="Arial"/>
        </w:rPr>
        <w:t>i</w:t>
      </w:r>
      <w:r w:rsidR="000D1085" w:rsidRPr="00853259">
        <w:rPr>
          <w:rFonts w:ascii="Arial" w:hAnsi="Arial" w:cs="Arial"/>
        </w:rPr>
        <w:t xml:space="preserve"> restauracij</w:t>
      </w:r>
      <w:r w:rsidR="002F7C1A">
        <w:rPr>
          <w:rFonts w:ascii="Arial" w:hAnsi="Arial" w:cs="Arial"/>
        </w:rPr>
        <w:t>u</w:t>
      </w:r>
      <w:r w:rsidR="000D1085" w:rsidRPr="00853259">
        <w:rPr>
          <w:rFonts w:ascii="Arial" w:hAnsi="Arial" w:cs="Arial"/>
        </w:rPr>
        <w:t xml:space="preserve"> slike</w:t>
      </w:r>
      <w:r w:rsidR="00AE2665">
        <w:rPr>
          <w:rFonts w:ascii="Arial" w:hAnsi="Arial" w:cs="Arial"/>
        </w:rPr>
        <w:t xml:space="preserve"> (POU Augustin Vivoda)</w:t>
      </w:r>
      <w:r w:rsidR="000D1085">
        <w:rPr>
          <w:rFonts w:ascii="Arial" w:hAnsi="Arial" w:cs="Arial"/>
        </w:rPr>
        <w:t>.</w:t>
      </w:r>
      <w:r w:rsidR="002F7C1A">
        <w:rPr>
          <w:rFonts w:ascii="Arial" w:hAnsi="Arial" w:cs="Arial"/>
        </w:rPr>
        <w:t xml:space="preserve"> </w:t>
      </w:r>
    </w:p>
    <w:p w:rsidR="000D1085" w:rsidRPr="000D1085" w:rsidRDefault="000D1085" w:rsidP="00927693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hr-HR"/>
        </w:rPr>
      </w:pPr>
    </w:p>
    <w:p w:rsidR="00927693" w:rsidRPr="00927693" w:rsidRDefault="00056532" w:rsidP="0092769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056532">
        <w:rPr>
          <w:rFonts w:ascii="Arial" w:eastAsia="Times New Roman" w:hAnsi="Arial" w:cs="Arial"/>
          <w:b/>
          <w:lang w:eastAsia="hr-HR"/>
        </w:rPr>
        <w:t>Prihodi od upravnih i administrativnih pristojbi</w:t>
      </w:r>
      <w:r>
        <w:rPr>
          <w:rFonts w:ascii="Arial" w:eastAsia="Times New Roman" w:hAnsi="Arial" w:cs="Arial"/>
          <w:lang w:eastAsia="hr-HR"/>
        </w:rPr>
        <w:t xml:space="preserve"> – predlaže se </w:t>
      </w:r>
      <w:r w:rsidR="00E53615">
        <w:rPr>
          <w:rFonts w:ascii="Arial" w:eastAsia="Times New Roman" w:hAnsi="Arial" w:cs="Arial"/>
          <w:lang w:eastAsia="hr-HR"/>
        </w:rPr>
        <w:t xml:space="preserve">smanjenje prihoda, najveći  dio se odnosi na prihode od </w:t>
      </w:r>
      <w:r w:rsidR="002F7C1A">
        <w:rPr>
          <w:rFonts w:ascii="Arial" w:eastAsia="Times New Roman" w:hAnsi="Arial" w:cs="Arial"/>
          <w:lang w:eastAsia="hr-HR"/>
        </w:rPr>
        <w:t xml:space="preserve">rasporeda uplata i isplata odobrenog iznosa pri prodaji stanova- agencija  </w:t>
      </w:r>
      <w:r w:rsidR="00E53615">
        <w:rPr>
          <w:rFonts w:ascii="Arial" w:eastAsia="Times New Roman" w:hAnsi="Arial" w:cs="Arial"/>
          <w:lang w:eastAsia="hr-HR"/>
        </w:rPr>
        <w:t>APN</w:t>
      </w:r>
      <w:r>
        <w:rPr>
          <w:rFonts w:ascii="Arial" w:eastAsia="Times New Roman" w:hAnsi="Arial" w:cs="Arial"/>
          <w:lang w:eastAsia="hr-HR"/>
        </w:rPr>
        <w:t>.</w:t>
      </w:r>
    </w:p>
    <w:p w:rsidR="00927693" w:rsidRPr="00927693" w:rsidRDefault="00927693" w:rsidP="0092769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56532" w:rsidRDefault="00056532" w:rsidP="00927693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927693" w:rsidRPr="00927693" w:rsidRDefault="00927693" w:rsidP="00927693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927693">
        <w:rPr>
          <w:rFonts w:ascii="Arial" w:eastAsia="Times New Roman" w:hAnsi="Arial" w:cs="Arial"/>
          <w:b/>
          <w:lang w:eastAsia="hr-HR"/>
        </w:rPr>
        <w:t>B - RASHODI</w:t>
      </w:r>
    </w:p>
    <w:p w:rsidR="00927693" w:rsidRPr="00927693" w:rsidRDefault="00927693" w:rsidP="0092769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407E2" w:rsidRPr="00F76E5B" w:rsidRDefault="003407E2" w:rsidP="003407E2">
      <w:pPr>
        <w:jc w:val="both"/>
        <w:rPr>
          <w:rFonts w:ascii="Arial" w:hAnsi="Arial" w:cs="Arial"/>
          <w:b/>
          <w:sz w:val="24"/>
          <w:szCs w:val="24"/>
        </w:rPr>
      </w:pPr>
      <w:r w:rsidRPr="00F76E5B">
        <w:rPr>
          <w:rFonts w:ascii="Arial" w:hAnsi="Arial" w:cs="Arial"/>
          <w:b/>
          <w:sz w:val="24"/>
          <w:szCs w:val="24"/>
        </w:rPr>
        <w:t>RASHODI I IZDACI PRORAČUNA</w:t>
      </w:r>
    </w:p>
    <w:p w:rsidR="003407E2" w:rsidRPr="00927693" w:rsidRDefault="003407E2" w:rsidP="003407E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27693">
        <w:rPr>
          <w:rFonts w:ascii="Arial" w:eastAsia="Times New Roman" w:hAnsi="Arial" w:cs="Arial"/>
          <w:lang w:eastAsia="hr-HR"/>
        </w:rPr>
        <w:t xml:space="preserve">Prijedlogom 2. izmjena i dopuna Proračuna rashodi i izdaci usklađeni su sa dosadašnjim ostvarenjem te očekivanim potrebama do kraja proračunske godine. </w:t>
      </w:r>
    </w:p>
    <w:p w:rsidR="003407E2" w:rsidRPr="00927693" w:rsidRDefault="003407E2" w:rsidP="003407E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407E2" w:rsidRPr="00927693" w:rsidRDefault="003407E2" w:rsidP="003407E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27693">
        <w:rPr>
          <w:rFonts w:ascii="Arial" w:eastAsia="Times New Roman" w:hAnsi="Arial" w:cs="Arial"/>
          <w:lang w:eastAsia="hr-HR"/>
        </w:rPr>
        <w:t xml:space="preserve">Rashodi proračunskih korisnika financiraju se iz vlastitih prihoda i proračunskih sredstava, a  povećavaju se odnosno smanjuju za slijedeće iznose: </w:t>
      </w:r>
    </w:p>
    <w:p w:rsidR="003407E2" w:rsidRPr="00927693" w:rsidRDefault="003407E2" w:rsidP="003407E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407E2" w:rsidRPr="00927693" w:rsidRDefault="003407E2" w:rsidP="003407E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27693">
        <w:rPr>
          <w:rFonts w:ascii="Arial" w:eastAsia="Times New Roman" w:hAnsi="Arial" w:cs="Arial"/>
          <w:lang w:eastAsia="hr-HR"/>
        </w:rPr>
        <w:t>Javna vatrogasna postrojba …………</w:t>
      </w:r>
      <w:r w:rsidR="00267E0F">
        <w:rPr>
          <w:rFonts w:ascii="Arial" w:eastAsia="Times New Roman" w:hAnsi="Arial" w:cs="Arial"/>
          <w:lang w:eastAsia="hr-HR"/>
        </w:rPr>
        <w:t>..</w:t>
      </w:r>
      <w:r w:rsidRPr="00927693">
        <w:rPr>
          <w:rFonts w:ascii="Arial" w:eastAsia="Times New Roman" w:hAnsi="Arial" w:cs="Arial"/>
          <w:lang w:eastAsia="hr-HR"/>
        </w:rPr>
        <w:t xml:space="preserve">povećanje za </w:t>
      </w:r>
      <w:r w:rsidR="00E53615">
        <w:rPr>
          <w:rFonts w:ascii="Arial" w:eastAsia="Times New Roman" w:hAnsi="Arial" w:cs="Arial"/>
          <w:lang w:eastAsia="hr-HR"/>
        </w:rPr>
        <w:t>166.50</w:t>
      </w:r>
      <w:r w:rsidR="00375719">
        <w:rPr>
          <w:rFonts w:ascii="Arial" w:eastAsia="Times New Roman" w:hAnsi="Arial" w:cs="Arial"/>
          <w:lang w:eastAsia="hr-HR"/>
        </w:rPr>
        <w:t>0</w:t>
      </w:r>
      <w:r w:rsidR="00267E0F">
        <w:rPr>
          <w:rFonts w:ascii="Arial" w:eastAsia="Times New Roman" w:hAnsi="Arial" w:cs="Arial"/>
          <w:lang w:eastAsia="hr-HR"/>
        </w:rPr>
        <w:t>,00</w:t>
      </w:r>
      <w:r w:rsidRPr="00927693">
        <w:rPr>
          <w:rFonts w:ascii="Arial" w:eastAsia="Times New Roman" w:hAnsi="Arial" w:cs="Arial"/>
          <w:lang w:eastAsia="hr-HR"/>
        </w:rPr>
        <w:t xml:space="preserve"> kuna</w:t>
      </w:r>
    </w:p>
    <w:p w:rsidR="003407E2" w:rsidRPr="00927693" w:rsidRDefault="003407E2" w:rsidP="003407E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27693">
        <w:rPr>
          <w:rFonts w:ascii="Arial" w:eastAsia="Times New Roman" w:hAnsi="Arial" w:cs="Arial"/>
          <w:lang w:eastAsia="hr-HR"/>
        </w:rPr>
        <w:t>Dječji vrtić Grdelin ……………..…</w:t>
      </w:r>
      <w:r w:rsidR="00267E0F">
        <w:rPr>
          <w:rFonts w:ascii="Arial" w:eastAsia="Times New Roman" w:hAnsi="Arial" w:cs="Arial"/>
          <w:lang w:eastAsia="hr-HR"/>
        </w:rPr>
        <w:t>..…</w:t>
      </w:r>
      <w:r w:rsidRPr="00927693">
        <w:rPr>
          <w:rFonts w:ascii="Arial" w:eastAsia="Times New Roman" w:hAnsi="Arial" w:cs="Arial"/>
          <w:lang w:eastAsia="hr-HR"/>
        </w:rPr>
        <w:t>..</w:t>
      </w:r>
      <w:r w:rsidR="00E53615">
        <w:rPr>
          <w:rFonts w:ascii="Arial" w:eastAsia="Times New Roman" w:hAnsi="Arial" w:cs="Arial"/>
          <w:lang w:eastAsia="hr-HR"/>
        </w:rPr>
        <w:t xml:space="preserve">povećanje </w:t>
      </w:r>
      <w:r w:rsidRPr="00927693">
        <w:rPr>
          <w:rFonts w:ascii="Arial" w:eastAsia="Times New Roman" w:hAnsi="Arial" w:cs="Arial"/>
          <w:lang w:eastAsia="hr-HR"/>
        </w:rPr>
        <w:t xml:space="preserve">za </w:t>
      </w:r>
      <w:r w:rsidR="00E53615">
        <w:rPr>
          <w:rFonts w:ascii="Arial" w:eastAsia="Times New Roman" w:hAnsi="Arial" w:cs="Arial"/>
          <w:lang w:eastAsia="hr-HR"/>
        </w:rPr>
        <w:t xml:space="preserve">  67.670,</w:t>
      </w:r>
      <w:r w:rsidR="00267E0F">
        <w:rPr>
          <w:rFonts w:ascii="Arial" w:eastAsia="Times New Roman" w:hAnsi="Arial" w:cs="Arial"/>
          <w:lang w:eastAsia="hr-HR"/>
        </w:rPr>
        <w:t>00</w:t>
      </w:r>
      <w:r w:rsidRPr="00927693">
        <w:rPr>
          <w:rFonts w:ascii="Arial" w:eastAsia="Times New Roman" w:hAnsi="Arial" w:cs="Arial"/>
          <w:lang w:eastAsia="hr-HR"/>
        </w:rPr>
        <w:t xml:space="preserve"> kuna</w:t>
      </w:r>
    </w:p>
    <w:p w:rsidR="003407E2" w:rsidRPr="00927693" w:rsidRDefault="003407E2" w:rsidP="003407E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27693">
        <w:rPr>
          <w:rFonts w:ascii="Arial" w:eastAsia="Times New Roman" w:hAnsi="Arial" w:cs="Arial"/>
          <w:lang w:eastAsia="hr-HR"/>
        </w:rPr>
        <w:t xml:space="preserve">Pučko otvoreno učilište ……..…………smanjenje za </w:t>
      </w:r>
      <w:r w:rsidR="00E53615">
        <w:rPr>
          <w:rFonts w:ascii="Arial" w:eastAsia="Times New Roman" w:hAnsi="Arial" w:cs="Arial"/>
          <w:lang w:eastAsia="hr-HR"/>
        </w:rPr>
        <w:t xml:space="preserve">  78.250</w:t>
      </w:r>
      <w:r w:rsidR="00267E0F">
        <w:rPr>
          <w:rFonts w:ascii="Arial" w:eastAsia="Times New Roman" w:hAnsi="Arial" w:cs="Arial"/>
          <w:lang w:eastAsia="hr-HR"/>
        </w:rPr>
        <w:t>,00</w:t>
      </w:r>
      <w:r w:rsidRPr="00927693">
        <w:rPr>
          <w:rFonts w:ascii="Arial" w:eastAsia="Times New Roman" w:hAnsi="Arial" w:cs="Arial"/>
          <w:lang w:eastAsia="hr-HR"/>
        </w:rPr>
        <w:t xml:space="preserve"> kuna</w:t>
      </w:r>
    </w:p>
    <w:p w:rsidR="003407E2" w:rsidRDefault="003407E2" w:rsidP="00267E0F">
      <w:pPr>
        <w:spacing w:after="0" w:line="240" w:lineRule="auto"/>
        <w:jc w:val="both"/>
        <w:rPr>
          <w:rFonts w:ascii="Arial" w:hAnsi="Arial" w:cs="Arial"/>
        </w:rPr>
      </w:pPr>
      <w:r w:rsidRPr="00927693">
        <w:rPr>
          <w:rFonts w:ascii="Arial" w:eastAsia="Times New Roman" w:hAnsi="Arial" w:cs="Arial"/>
          <w:lang w:eastAsia="hr-HR"/>
        </w:rPr>
        <w:t>Dom za starije osobe ……………..…</w:t>
      </w:r>
      <w:r w:rsidR="00267E0F">
        <w:rPr>
          <w:rFonts w:ascii="Arial" w:eastAsia="Times New Roman" w:hAnsi="Arial" w:cs="Arial"/>
          <w:lang w:eastAsia="hr-HR"/>
        </w:rPr>
        <w:t>…</w:t>
      </w:r>
      <w:r w:rsidR="00F1634C">
        <w:rPr>
          <w:rFonts w:ascii="Arial" w:eastAsia="Times New Roman" w:hAnsi="Arial" w:cs="Arial"/>
          <w:lang w:eastAsia="hr-HR"/>
        </w:rPr>
        <w:t>povećanje</w:t>
      </w:r>
      <w:r w:rsidR="00267E0F">
        <w:rPr>
          <w:rFonts w:ascii="Arial" w:eastAsia="Times New Roman" w:hAnsi="Arial" w:cs="Arial"/>
          <w:lang w:eastAsia="hr-HR"/>
        </w:rPr>
        <w:t xml:space="preserve"> za </w:t>
      </w:r>
      <w:r w:rsidR="00E53615">
        <w:rPr>
          <w:rFonts w:ascii="Arial" w:eastAsia="Times New Roman" w:hAnsi="Arial" w:cs="Arial"/>
          <w:lang w:eastAsia="hr-HR"/>
        </w:rPr>
        <w:t>119.053,08</w:t>
      </w:r>
      <w:r w:rsidR="00267E0F">
        <w:rPr>
          <w:rFonts w:ascii="Arial" w:eastAsia="Times New Roman" w:hAnsi="Arial" w:cs="Arial"/>
          <w:lang w:eastAsia="hr-HR"/>
        </w:rPr>
        <w:t xml:space="preserve"> kuna</w:t>
      </w:r>
    </w:p>
    <w:p w:rsidR="00267E0F" w:rsidRDefault="00267E0F" w:rsidP="003407E2">
      <w:pPr>
        <w:jc w:val="both"/>
        <w:rPr>
          <w:rFonts w:ascii="Arial" w:hAnsi="Arial" w:cs="Arial"/>
        </w:rPr>
      </w:pPr>
    </w:p>
    <w:p w:rsidR="003407E2" w:rsidRDefault="003407E2" w:rsidP="003407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 nastavku daje se prikaz promjena na osnovnim skupinama rashoda i izdataka u odnosu na početni proračun:</w:t>
      </w:r>
    </w:p>
    <w:p w:rsidR="003407E2" w:rsidRPr="006F1595" w:rsidRDefault="003407E2" w:rsidP="003407E2">
      <w:pPr>
        <w:jc w:val="both"/>
        <w:rPr>
          <w:rFonts w:ascii="Arial" w:hAnsi="Arial" w:cs="Arial"/>
          <w:b/>
          <w:i/>
        </w:rPr>
      </w:pPr>
      <w:r w:rsidRPr="006F1595">
        <w:rPr>
          <w:rFonts w:ascii="Arial" w:hAnsi="Arial" w:cs="Arial"/>
          <w:b/>
          <w:i/>
        </w:rPr>
        <w:t xml:space="preserve">Prikaz povećanja/smanjenja osnovnih skupina rashoda i izdataka </w:t>
      </w:r>
    </w:p>
    <w:tbl>
      <w:tblPr>
        <w:tblW w:w="10100" w:type="dxa"/>
        <w:tblInd w:w="-10" w:type="dxa"/>
        <w:tblLook w:val="04A0" w:firstRow="1" w:lastRow="0" w:firstColumn="1" w:lastColumn="0" w:noHBand="0" w:noVBand="1"/>
      </w:tblPr>
      <w:tblGrid>
        <w:gridCol w:w="785"/>
        <w:gridCol w:w="3589"/>
        <w:gridCol w:w="1496"/>
        <w:gridCol w:w="1384"/>
        <w:gridCol w:w="1350"/>
        <w:gridCol w:w="1496"/>
      </w:tblGrid>
      <w:tr w:rsidR="00F1634C" w:rsidRPr="00F1634C" w:rsidTr="006F1595">
        <w:trPr>
          <w:trHeight w:val="525"/>
        </w:trPr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163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VRSTA RASHODA / IZDATAKA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PROMJENA IZNOS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PROMJENA (%)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NOVI IZNOS</w:t>
            </w:r>
          </w:p>
        </w:tc>
      </w:tr>
      <w:tr w:rsidR="00F1634C" w:rsidRPr="00F1634C" w:rsidTr="006F1595">
        <w:trPr>
          <w:trHeight w:val="87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1634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 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SVEUKUPNO RASHODI / IZDACI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63.872.251,14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1.169.136,13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1,83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65.041.387,27</w:t>
            </w:r>
          </w:p>
        </w:tc>
      </w:tr>
      <w:tr w:rsidR="00F1634C" w:rsidRPr="00F1634C" w:rsidTr="006F1595">
        <w:trPr>
          <w:trHeight w:val="465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1634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34.863.459,24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776.890,14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2,23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35.640.349,38</w:t>
            </w:r>
          </w:p>
        </w:tc>
      </w:tr>
      <w:tr w:rsidR="00F1634C" w:rsidRPr="00F1634C" w:rsidTr="006F1595">
        <w:trPr>
          <w:trHeight w:val="645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14.571.963,37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188.358,58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1,29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14.760.321,95</w:t>
            </w:r>
          </w:p>
        </w:tc>
      </w:tr>
      <w:tr w:rsidR="00F1634C" w:rsidRPr="00F1634C" w:rsidTr="006F1595">
        <w:trPr>
          <w:trHeight w:val="27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12.981.714,90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375.362,71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2,89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13.357.077,61</w:t>
            </w:r>
          </w:p>
        </w:tc>
      </w:tr>
      <w:tr w:rsidR="00F1634C" w:rsidRPr="00F1634C" w:rsidTr="006F1595">
        <w:trPr>
          <w:trHeight w:val="27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269.237,08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271.737,08</w:t>
            </w:r>
          </w:p>
        </w:tc>
      </w:tr>
      <w:tr w:rsidR="00F1634C" w:rsidRPr="00F1634C" w:rsidTr="006F1595">
        <w:trPr>
          <w:trHeight w:val="27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420.000,00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420.000,00</w:t>
            </w:r>
          </w:p>
        </w:tc>
      </w:tr>
      <w:tr w:rsidR="00F1634C" w:rsidRPr="00F1634C" w:rsidTr="006F1595">
        <w:trPr>
          <w:trHeight w:val="585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1.563.858,72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151.079,80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1.714.938,52</w:t>
            </w:r>
          </w:p>
        </w:tc>
      </w:tr>
      <w:tr w:rsidR="00F1634C" w:rsidRPr="00F1634C" w:rsidTr="006F1595">
        <w:trPr>
          <w:trHeight w:val="645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1.022.000,00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1.022.000,00</w:t>
            </w:r>
          </w:p>
        </w:tc>
      </w:tr>
      <w:tr w:rsidR="00F1634C" w:rsidRPr="00F1634C" w:rsidTr="006F1595">
        <w:trPr>
          <w:trHeight w:val="27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4.034.685,17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59.589,05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1,48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4.094.274,22</w:t>
            </w:r>
          </w:p>
        </w:tc>
      </w:tr>
      <w:tr w:rsidR="00F1634C" w:rsidRPr="00F1634C" w:rsidTr="006F1595">
        <w:trPr>
          <w:trHeight w:val="42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1634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28.486.291,90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392.245,99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1,38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28.878.537,89</w:t>
            </w:r>
          </w:p>
        </w:tc>
      </w:tr>
      <w:tr w:rsidR="00F1634C" w:rsidRPr="00F1634C" w:rsidTr="006F1595">
        <w:trPr>
          <w:trHeight w:val="78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F163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neproizvedene</w:t>
            </w:r>
            <w:proofErr w:type="spellEnd"/>
            <w:r w:rsidRPr="00F163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827.218,75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266.750,00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32,25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1.093.968,75</w:t>
            </w:r>
          </w:p>
        </w:tc>
      </w:tr>
      <w:tr w:rsidR="00F1634C" w:rsidRPr="00F1634C" w:rsidTr="006F1595">
        <w:trPr>
          <w:trHeight w:val="78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1634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25.504.234,28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-66.504,01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-0,26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25.437.730,27</w:t>
            </w:r>
          </w:p>
        </w:tc>
      </w:tr>
      <w:tr w:rsidR="00F1634C" w:rsidRPr="00F1634C" w:rsidTr="006F1595">
        <w:trPr>
          <w:trHeight w:val="6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1634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2.154.838,87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192.000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2.346.838,87</w:t>
            </w:r>
          </w:p>
        </w:tc>
      </w:tr>
      <w:tr w:rsidR="00F1634C" w:rsidRPr="00F1634C" w:rsidTr="006F1595">
        <w:trPr>
          <w:trHeight w:val="525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1634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522.500,00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80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522.500,00</w:t>
            </w:r>
          </w:p>
        </w:tc>
      </w:tr>
      <w:tr w:rsidR="00F1634C" w:rsidRPr="00F1634C" w:rsidTr="006F1595">
        <w:trPr>
          <w:trHeight w:val="525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1634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522.500,00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34C" w:rsidRPr="00F1634C" w:rsidRDefault="00F1634C" w:rsidP="00F163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163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522.500,00</w:t>
            </w:r>
          </w:p>
        </w:tc>
      </w:tr>
    </w:tbl>
    <w:p w:rsidR="00F1634C" w:rsidRDefault="00F1634C" w:rsidP="003407E2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F1634C" w:rsidRDefault="00F1634C" w:rsidP="003407E2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3407E2" w:rsidRDefault="003407E2" w:rsidP="003407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Rebalansom za 202</w:t>
      </w:r>
      <w:r w:rsidR="00F1634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godinu ukupni rashodi/izdaci proračuna usklađuju se s procijenjenim prihodima/primicima te se </w:t>
      </w:r>
      <w:r w:rsidR="00F1634C">
        <w:rPr>
          <w:rFonts w:ascii="Arial" w:hAnsi="Arial" w:cs="Arial"/>
        </w:rPr>
        <w:t>povećavaju za  1.169.136,13</w:t>
      </w:r>
      <w:r>
        <w:rPr>
          <w:rFonts w:ascii="Arial" w:hAnsi="Arial" w:cs="Arial"/>
        </w:rPr>
        <w:t xml:space="preserve"> kuna odnosno za </w:t>
      </w:r>
      <w:r w:rsidR="00F1634C">
        <w:rPr>
          <w:rFonts w:ascii="Arial" w:hAnsi="Arial" w:cs="Arial"/>
        </w:rPr>
        <w:t>1,83</w:t>
      </w:r>
      <w:r>
        <w:rPr>
          <w:rFonts w:ascii="Arial" w:hAnsi="Arial" w:cs="Arial"/>
        </w:rPr>
        <w:t xml:space="preserve"> % u odnosu na planirano. </w:t>
      </w:r>
    </w:p>
    <w:p w:rsidR="003407E2" w:rsidRPr="00375719" w:rsidRDefault="003407E2" w:rsidP="003407E2">
      <w:pPr>
        <w:jc w:val="both"/>
        <w:rPr>
          <w:rFonts w:ascii="Arial" w:hAnsi="Arial" w:cs="Arial"/>
        </w:rPr>
      </w:pPr>
      <w:r w:rsidRPr="00375719">
        <w:rPr>
          <w:rFonts w:ascii="Arial" w:hAnsi="Arial" w:cs="Arial"/>
        </w:rPr>
        <w:t xml:space="preserve">Rashodi za zaposlene </w:t>
      </w:r>
      <w:r w:rsidR="00F1634C" w:rsidRPr="00375719">
        <w:rPr>
          <w:rFonts w:ascii="Arial" w:hAnsi="Arial" w:cs="Arial"/>
        </w:rPr>
        <w:t xml:space="preserve">povećavaju se za 188.358,58 kuna, iznos se </w:t>
      </w:r>
      <w:r w:rsidR="00821148" w:rsidRPr="00375719">
        <w:rPr>
          <w:rFonts w:ascii="Arial" w:hAnsi="Arial" w:cs="Arial"/>
        </w:rPr>
        <w:t xml:space="preserve">najvećim dijelom </w:t>
      </w:r>
      <w:r w:rsidR="00F1634C" w:rsidRPr="00375719">
        <w:rPr>
          <w:rFonts w:ascii="Arial" w:hAnsi="Arial" w:cs="Arial"/>
        </w:rPr>
        <w:t xml:space="preserve">odnosi na isplatu regresa </w:t>
      </w:r>
      <w:r w:rsidR="003223E7" w:rsidRPr="00375719">
        <w:rPr>
          <w:rFonts w:ascii="Arial" w:hAnsi="Arial" w:cs="Arial"/>
        </w:rPr>
        <w:t xml:space="preserve">za godišnji odmor </w:t>
      </w:r>
      <w:r w:rsidR="00F1634C" w:rsidRPr="00375719">
        <w:rPr>
          <w:rFonts w:ascii="Arial" w:hAnsi="Arial" w:cs="Arial"/>
        </w:rPr>
        <w:t xml:space="preserve">2020, koji </w:t>
      </w:r>
      <w:r w:rsidR="003223E7" w:rsidRPr="00375719">
        <w:rPr>
          <w:rFonts w:ascii="Arial" w:hAnsi="Arial" w:cs="Arial"/>
        </w:rPr>
        <w:t>je poslodavac prema važećim kolektivnim ugovorima treba</w:t>
      </w:r>
      <w:r w:rsidR="00B37ABA" w:rsidRPr="00375719">
        <w:rPr>
          <w:rFonts w:ascii="Arial" w:hAnsi="Arial" w:cs="Arial"/>
        </w:rPr>
        <w:t>o</w:t>
      </w:r>
      <w:r w:rsidR="003223E7" w:rsidRPr="00375719">
        <w:rPr>
          <w:rFonts w:ascii="Arial" w:hAnsi="Arial" w:cs="Arial"/>
        </w:rPr>
        <w:t xml:space="preserve"> isplatiti zaposlenicima</w:t>
      </w:r>
      <w:r w:rsidR="006533B5" w:rsidRPr="00375719">
        <w:rPr>
          <w:rFonts w:ascii="Arial" w:hAnsi="Arial" w:cs="Arial"/>
          <w:noProof/>
        </w:rPr>
        <w:t>.</w:t>
      </w:r>
      <w:r w:rsidR="003223E7" w:rsidRPr="00375719">
        <w:rPr>
          <w:rFonts w:ascii="Arial" w:hAnsi="Arial" w:cs="Arial"/>
          <w:noProof/>
        </w:rPr>
        <w:t xml:space="preserve"> S obzirom da prošle godine nije isplaćen</w:t>
      </w:r>
      <w:r w:rsidR="00B37ABA" w:rsidRPr="00375719">
        <w:rPr>
          <w:rFonts w:ascii="Arial" w:hAnsi="Arial" w:cs="Arial"/>
          <w:noProof/>
        </w:rPr>
        <w:t xml:space="preserve">, </w:t>
      </w:r>
      <w:r w:rsidR="003223E7" w:rsidRPr="00375719">
        <w:rPr>
          <w:rFonts w:ascii="Arial" w:hAnsi="Arial" w:cs="Arial"/>
          <w:noProof/>
        </w:rPr>
        <w:t xml:space="preserve">niti donesena odluka o neisplati regresa, obaveza isplate prema kolektivnom ugovoru </w:t>
      </w:r>
      <w:r w:rsidR="00B37ABA" w:rsidRPr="00375719">
        <w:rPr>
          <w:rFonts w:ascii="Arial" w:hAnsi="Arial" w:cs="Arial"/>
          <w:noProof/>
        </w:rPr>
        <w:t>ostaje i poslodavac j</w:t>
      </w:r>
      <w:r w:rsidR="0032685B">
        <w:rPr>
          <w:rFonts w:ascii="Arial" w:hAnsi="Arial" w:cs="Arial"/>
          <w:noProof/>
        </w:rPr>
        <w:t>e</w:t>
      </w:r>
      <w:r w:rsidR="00B37ABA" w:rsidRPr="00375719">
        <w:rPr>
          <w:rFonts w:ascii="Arial" w:hAnsi="Arial" w:cs="Arial"/>
          <w:noProof/>
        </w:rPr>
        <w:t xml:space="preserve"> treba ispoštovati.</w:t>
      </w:r>
      <w:r w:rsidR="00375719">
        <w:rPr>
          <w:rFonts w:ascii="Arial" w:hAnsi="Arial" w:cs="Arial"/>
          <w:noProof/>
        </w:rPr>
        <w:t xml:space="preserve"> </w:t>
      </w:r>
      <w:r w:rsidR="0032685B">
        <w:rPr>
          <w:rFonts w:ascii="Arial" w:hAnsi="Arial" w:cs="Arial"/>
          <w:noProof/>
        </w:rPr>
        <w:t>Također se</w:t>
      </w:r>
      <w:r w:rsidR="00375719" w:rsidRPr="00E66C1D">
        <w:rPr>
          <w:rFonts w:ascii="Arial" w:hAnsi="Arial" w:cs="Arial"/>
        </w:rPr>
        <w:t xml:space="preserve"> </w:t>
      </w:r>
      <w:r w:rsidR="00375719" w:rsidRPr="00625FFC">
        <w:rPr>
          <w:rFonts w:ascii="Arial" w:hAnsi="Arial" w:cs="Arial"/>
        </w:rPr>
        <w:t>sukladno čl. 58.st.5. Zakona o vatrogastvu</w:t>
      </w:r>
      <w:r w:rsidR="00375719">
        <w:rPr>
          <w:rFonts w:ascii="Arial" w:hAnsi="Arial" w:cs="Arial"/>
        </w:rPr>
        <w:t xml:space="preserve"> </w:t>
      </w:r>
      <w:r w:rsidR="0032685B">
        <w:rPr>
          <w:rFonts w:ascii="Arial" w:hAnsi="Arial" w:cs="Arial"/>
        </w:rPr>
        <w:t xml:space="preserve">predlaže osigurati </w:t>
      </w:r>
      <w:r w:rsidR="00375719">
        <w:rPr>
          <w:rFonts w:ascii="Arial" w:hAnsi="Arial" w:cs="Arial"/>
        </w:rPr>
        <w:t>iznos</w:t>
      </w:r>
      <w:r w:rsidR="0032685B">
        <w:rPr>
          <w:rFonts w:ascii="Arial" w:hAnsi="Arial" w:cs="Arial"/>
        </w:rPr>
        <w:t xml:space="preserve"> od 88.000 kuna za isplatu razlike za otpremninu</w:t>
      </w:r>
      <w:r w:rsidR="00375719">
        <w:rPr>
          <w:rFonts w:ascii="Arial" w:hAnsi="Arial" w:cs="Arial"/>
        </w:rPr>
        <w:t>.</w:t>
      </w:r>
    </w:p>
    <w:p w:rsidR="003407E2" w:rsidRDefault="003407E2" w:rsidP="003407E2">
      <w:pPr>
        <w:jc w:val="both"/>
        <w:rPr>
          <w:rFonts w:ascii="Arial" w:hAnsi="Arial" w:cs="Arial"/>
        </w:rPr>
      </w:pPr>
      <w:r w:rsidRPr="006E7879">
        <w:rPr>
          <w:rFonts w:ascii="Arial" w:hAnsi="Arial" w:cs="Arial"/>
          <w:b/>
        </w:rPr>
        <w:t>Materijalni rashodi</w:t>
      </w:r>
      <w:r>
        <w:rPr>
          <w:rFonts w:ascii="Arial" w:hAnsi="Arial" w:cs="Arial"/>
        </w:rPr>
        <w:t xml:space="preserve"> </w:t>
      </w:r>
      <w:r w:rsidR="00B37ABA">
        <w:rPr>
          <w:rFonts w:ascii="Arial" w:hAnsi="Arial" w:cs="Arial"/>
        </w:rPr>
        <w:t>se povećavaju za 375.362,71 kunu</w:t>
      </w:r>
      <w:r>
        <w:rPr>
          <w:rFonts w:ascii="Arial" w:hAnsi="Arial" w:cs="Arial"/>
        </w:rPr>
        <w:t>.</w:t>
      </w:r>
      <w:r w:rsidR="00DF06AB">
        <w:rPr>
          <w:rFonts w:ascii="Arial" w:hAnsi="Arial" w:cs="Arial"/>
        </w:rPr>
        <w:t xml:space="preserve"> Najvećim dijelom odnose se na planirana sredstva za  troškove geodetskih usluga 110.000 kuna, 40.000,00 kuna odnosi se na troškove goriva za prijevoz testova za </w:t>
      </w:r>
      <w:proofErr w:type="spellStart"/>
      <w:r w:rsidR="00DF06AB">
        <w:rPr>
          <w:rFonts w:ascii="Arial" w:hAnsi="Arial" w:cs="Arial"/>
        </w:rPr>
        <w:t>Covid</w:t>
      </w:r>
      <w:proofErr w:type="spellEnd"/>
      <w:r w:rsidR="00DF06AB">
        <w:rPr>
          <w:rFonts w:ascii="Arial" w:hAnsi="Arial" w:cs="Arial"/>
        </w:rPr>
        <w:t xml:space="preserve">, relacija Buzet-Pula, </w:t>
      </w:r>
      <w:r w:rsidR="0032685B">
        <w:rPr>
          <w:rFonts w:ascii="Arial" w:hAnsi="Arial" w:cs="Arial"/>
        </w:rPr>
        <w:t xml:space="preserve">i </w:t>
      </w:r>
      <w:r w:rsidR="00DF06AB">
        <w:rPr>
          <w:rFonts w:ascii="Arial" w:hAnsi="Arial" w:cs="Arial"/>
        </w:rPr>
        <w:t>100.476,00 kuna na dodatne troškove za lokalne izbore.</w:t>
      </w:r>
    </w:p>
    <w:p w:rsidR="00C21545" w:rsidRPr="00C21545" w:rsidRDefault="003407E2" w:rsidP="00C21545">
      <w:pPr>
        <w:jc w:val="both"/>
        <w:rPr>
          <w:rFonts w:ascii="Arial" w:eastAsia="Times New Roman" w:hAnsi="Arial" w:cs="Arial"/>
          <w:color w:val="FF0000"/>
          <w:sz w:val="20"/>
          <w:szCs w:val="20"/>
          <w:lang w:eastAsia="hr-HR"/>
        </w:rPr>
      </w:pPr>
      <w:r w:rsidRPr="006E7879">
        <w:rPr>
          <w:rFonts w:ascii="Arial" w:hAnsi="Arial" w:cs="Arial"/>
          <w:b/>
        </w:rPr>
        <w:lastRenderedPageBreak/>
        <w:t>Pomoći dane u inozemstvo i unutar općeg proračuna</w:t>
      </w:r>
      <w:r>
        <w:rPr>
          <w:rFonts w:ascii="Arial" w:hAnsi="Arial" w:cs="Arial"/>
        </w:rPr>
        <w:t xml:space="preserve"> povećavaju se za </w:t>
      </w:r>
      <w:r w:rsidR="00C21545">
        <w:rPr>
          <w:rFonts w:ascii="Arial" w:hAnsi="Arial" w:cs="Arial"/>
        </w:rPr>
        <w:t xml:space="preserve">151.079,80 kuna. Najvećim dijelom odnose se na Sufinanciranje produženog boravka u osnovnoj školi 75.000 kuna i </w:t>
      </w:r>
      <w:r w:rsidR="00C21545" w:rsidRPr="00375719">
        <w:rPr>
          <w:rFonts w:ascii="Arial" w:hAnsi="Arial" w:cs="Arial"/>
        </w:rPr>
        <w:t xml:space="preserve">40.000 kuna palača </w:t>
      </w:r>
      <w:proofErr w:type="spellStart"/>
      <w:r w:rsidR="00C21545" w:rsidRPr="00375719">
        <w:rPr>
          <w:rFonts w:ascii="Arial" w:hAnsi="Arial" w:cs="Arial"/>
        </w:rPr>
        <w:t>Ver</w:t>
      </w:r>
      <w:r w:rsidR="00B26E5B" w:rsidRPr="00375719">
        <w:rPr>
          <w:rFonts w:ascii="Arial" w:hAnsi="Arial" w:cs="Arial"/>
        </w:rPr>
        <w:t>z</w:t>
      </w:r>
      <w:r w:rsidR="00C21545" w:rsidRPr="00375719">
        <w:rPr>
          <w:rFonts w:ascii="Arial" w:hAnsi="Arial" w:cs="Arial"/>
        </w:rPr>
        <w:t>i</w:t>
      </w:r>
      <w:proofErr w:type="spellEnd"/>
      <w:r w:rsidR="00C21545" w:rsidRPr="00375719">
        <w:rPr>
          <w:rFonts w:ascii="Arial" w:hAnsi="Arial" w:cs="Arial"/>
        </w:rPr>
        <w:t xml:space="preserve">, za ugovorene usluge promidžbe, </w:t>
      </w:r>
      <w:proofErr w:type="spellStart"/>
      <w:r w:rsidR="00C21545" w:rsidRPr="00375719">
        <w:rPr>
          <w:rFonts w:ascii="Arial" w:hAnsi="Arial" w:cs="Arial"/>
        </w:rPr>
        <w:t>cateringa</w:t>
      </w:r>
      <w:proofErr w:type="spellEnd"/>
      <w:r w:rsidR="00C21545" w:rsidRPr="00375719">
        <w:rPr>
          <w:rFonts w:ascii="Arial" w:hAnsi="Arial" w:cs="Arial"/>
        </w:rPr>
        <w:t xml:space="preserve"> i web stranice      (16.000 kn) i  sredstava za plaće za administrativnog suradnika Plzet (24.000 kn). </w:t>
      </w:r>
    </w:p>
    <w:p w:rsidR="00B26E5B" w:rsidRDefault="003407E2" w:rsidP="00B26E5B">
      <w:pPr>
        <w:jc w:val="both"/>
        <w:rPr>
          <w:rFonts w:ascii="Arial" w:hAnsi="Arial" w:cs="Arial"/>
        </w:rPr>
      </w:pPr>
      <w:r w:rsidRPr="00C05DF3">
        <w:rPr>
          <w:rFonts w:ascii="Arial" w:hAnsi="Arial" w:cs="Arial"/>
        </w:rPr>
        <w:t xml:space="preserve">Planirani </w:t>
      </w:r>
      <w:r w:rsidRPr="00C05DF3">
        <w:rPr>
          <w:rFonts w:ascii="Arial" w:hAnsi="Arial" w:cs="Arial"/>
          <w:b/>
        </w:rPr>
        <w:t>rashodi za nabavu nefinancijske imovine</w:t>
      </w:r>
      <w:r w:rsidR="00B26E5B">
        <w:rPr>
          <w:rFonts w:ascii="Arial" w:hAnsi="Arial" w:cs="Arial"/>
        </w:rPr>
        <w:t xml:space="preserve">, predloženo </w:t>
      </w:r>
      <w:r w:rsidR="006F1595">
        <w:rPr>
          <w:rFonts w:ascii="Arial" w:hAnsi="Arial" w:cs="Arial"/>
        </w:rPr>
        <w:t xml:space="preserve">je </w:t>
      </w:r>
      <w:r w:rsidR="00B26E5B">
        <w:rPr>
          <w:rFonts w:ascii="Arial" w:hAnsi="Arial" w:cs="Arial"/>
        </w:rPr>
        <w:t>povećanje od 392.245,99 kuna</w:t>
      </w:r>
      <w:r w:rsidR="006F1595">
        <w:rPr>
          <w:rFonts w:ascii="Arial" w:hAnsi="Arial" w:cs="Arial"/>
        </w:rPr>
        <w:t xml:space="preserve">. Najvećim dijelom sredstva uključuju </w:t>
      </w:r>
      <w:r w:rsidR="00B26E5B">
        <w:rPr>
          <w:rFonts w:ascii="Arial" w:hAnsi="Arial" w:cs="Arial"/>
        </w:rPr>
        <w:t xml:space="preserve">dodatna ulaganja </w:t>
      </w:r>
      <w:r w:rsidR="006F1595">
        <w:rPr>
          <w:rFonts w:ascii="Arial" w:hAnsi="Arial" w:cs="Arial"/>
        </w:rPr>
        <w:t xml:space="preserve">za </w:t>
      </w:r>
      <w:r w:rsidR="00B26E5B">
        <w:rPr>
          <w:rFonts w:ascii="Arial" w:hAnsi="Arial" w:cs="Arial"/>
        </w:rPr>
        <w:t>palač</w:t>
      </w:r>
      <w:r w:rsidR="006F1595">
        <w:rPr>
          <w:rFonts w:ascii="Arial" w:hAnsi="Arial" w:cs="Arial"/>
        </w:rPr>
        <w:t>u</w:t>
      </w:r>
      <w:r w:rsidR="00B26E5B">
        <w:rPr>
          <w:rFonts w:ascii="Arial" w:hAnsi="Arial" w:cs="Arial"/>
        </w:rPr>
        <w:t xml:space="preserve"> </w:t>
      </w:r>
      <w:proofErr w:type="spellStart"/>
      <w:r w:rsidR="00B26E5B">
        <w:rPr>
          <w:rFonts w:ascii="Arial" w:hAnsi="Arial" w:cs="Arial"/>
        </w:rPr>
        <w:t>Verzi</w:t>
      </w:r>
      <w:proofErr w:type="spellEnd"/>
      <w:r w:rsidR="006F1595">
        <w:rPr>
          <w:rFonts w:ascii="Arial" w:hAnsi="Arial" w:cs="Arial"/>
        </w:rPr>
        <w:t>,</w:t>
      </w:r>
      <w:r w:rsidR="00B26E5B">
        <w:rPr>
          <w:rFonts w:ascii="Arial" w:hAnsi="Arial" w:cs="Arial"/>
        </w:rPr>
        <w:t xml:space="preserve"> (VTR1, dodatni otkup angažirane snage, nedostaci po tehničkom pregledu</w:t>
      </w:r>
      <w:r w:rsidR="006F1595">
        <w:rPr>
          <w:rFonts w:ascii="Arial" w:hAnsi="Arial" w:cs="Arial"/>
        </w:rPr>
        <w:t>, namještaj</w:t>
      </w:r>
      <w:r w:rsidR="00B26E5B">
        <w:rPr>
          <w:rFonts w:ascii="Arial" w:hAnsi="Arial" w:cs="Arial"/>
        </w:rPr>
        <w:t xml:space="preserve">), 100.000 kuna </w:t>
      </w:r>
      <w:r w:rsidR="006F1595">
        <w:rPr>
          <w:rFonts w:ascii="Arial" w:hAnsi="Arial" w:cs="Arial"/>
        </w:rPr>
        <w:t xml:space="preserve">za </w:t>
      </w:r>
      <w:r w:rsidR="0032685B">
        <w:rPr>
          <w:rFonts w:ascii="Arial" w:hAnsi="Arial" w:cs="Arial"/>
        </w:rPr>
        <w:t>uslug</w:t>
      </w:r>
      <w:r w:rsidR="006F1595">
        <w:rPr>
          <w:rFonts w:ascii="Arial" w:hAnsi="Arial" w:cs="Arial"/>
        </w:rPr>
        <w:t>u</w:t>
      </w:r>
      <w:r w:rsidR="0032685B">
        <w:rPr>
          <w:rFonts w:ascii="Arial" w:hAnsi="Arial" w:cs="Arial"/>
        </w:rPr>
        <w:t xml:space="preserve"> izrade</w:t>
      </w:r>
      <w:r w:rsidR="00B26E5B">
        <w:rPr>
          <w:rFonts w:ascii="Arial" w:hAnsi="Arial" w:cs="Arial"/>
        </w:rPr>
        <w:t xml:space="preserve"> plan razvoja</w:t>
      </w:r>
      <w:r w:rsidR="00636E4B">
        <w:rPr>
          <w:rFonts w:ascii="Arial" w:hAnsi="Arial" w:cs="Arial"/>
        </w:rPr>
        <w:t xml:space="preserve">, </w:t>
      </w:r>
      <w:r w:rsidR="006F1595">
        <w:rPr>
          <w:rFonts w:ascii="Arial" w:hAnsi="Arial" w:cs="Arial"/>
        </w:rPr>
        <w:t xml:space="preserve">te </w:t>
      </w:r>
      <w:r w:rsidR="0032685B">
        <w:rPr>
          <w:rFonts w:ascii="Arial" w:hAnsi="Arial" w:cs="Arial"/>
        </w:rPr>
        <w:t>140.000,00 kuna za nabavku nove IT opreme (novog servera).</w:t>
      </w:r>
    </w:p>
    <w:p w:rsidR="00684BBD" w:rsidRDefault="00684BBD" w:rsidP="00684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sjednici Gradskog vijeća, Klub vijećnika Nezavisne liste i SDP-a Buzet, podno je amandman kojim je predloženo smanjenje 50.000 kuna usluge </w:t>
      </w:r>
      <w:r w:rsidR="00E65024" w:rsidRPr="00E65024">
        <w:rPr>
          <w:rFonts w:ascii="Arial" w:hAnsi="Arial" w:cs="Arial"/>
        </w:rPr>
        <w:t>Izrad</w:t>
      </w:r>
      <w:r w:rsidR="00E65024">
        <w:rPr>
          <w:rFonts w:ascii="Arial" w:hAnsi="Arial" w:cs="Arial"/>
        </w:rPr>
        <w:t>e</w:t>
      </w:r>
      <w:r w:rsidR="00E65024" w:rsidRPr="00E65024">
        <w:rPr>
          <w:rFonts w:ascii="Arial" w:hAnsi="Arial" w:cs="Arial"/>
        </w:rPr>
        <w:t xml:space="preserve"> provedbenog Programa za mandatno razdoblje i Plana razvoja</w:t>
      </w:r>
      <w:r>
        <w:rPr>
          <w:rFonts w:ascii="Arial" w:hAnsi="Arial" w:cs="Arial"/>
        </w:rPr>
        <w:t>, te je za isti iznos predložena nova stavka – revizorske usluge. Amandman je usvojen i uključen u II. izmjene proračuna</w:t>
      </w:r>
      <w:r w:rsidR="00A001CC">
        <w:rPr>
          <w:rFonts w:ascii="Arial" w:hAnsi="Arial" w:cs="Arial"/>
        </w:rPr>
        <w:t xml:space="preserve"> za 2021</w:t>
      </w:r>
      <w:r w:rsidR="007A1C83">
        <w:rPr>
          <w:rFonts w:ascii="Arial" w:hAnsi="Arial" w:cs="Arial"/>
        </w:rPr>
        <w:t>.</w:t>
      </w:r>
      <w:bookmarkStart w:id="0" w:name="_GoBack"/>
      <w:bookmarkEnd w:id="0"/>
      <w:r w:rsidR="00A001CC">
        <w:rPr>
          <w:rFonts w:ascii="Arial" w:hAnsi="Arial" w:cs="Arial"/>
        </w:rPr>
        <w:t xml:space="preserve"> godinu.</w:t>
      </w:r>
    </w:p>
    <w:p w:rsidR="00684BBD" w:rsidRDefault="00684BBD" w:rsidP="00B26E5B">
      <w:pPr>
        <w:jc w:val="both"/>
        <w:rPr>
          <w:rFonts w:ascii="Arial" w:hAnsi="Arial" w:cs="Arial"/>
        </w:rPr>
      </w:pPr>
    </w:p>
    <w:p w:rsidR="00684BBD" w:rsidRPr="0032685B" w:rsidRDefault="00684BBD" w:rsidP="00B26E5B">
      <w:pPr>
        <w:jc w:val="both"/>
        <w:rPr>
          <w:rFonts w:ascii="Arial" w:hAnsi="Arial" w:cs="Arial"/>
        </w:rPr>
      </w:pPr>
    </w:p>
    <w:p w:rsidR="003407E2" w:rsidRPr="00B26E5B" w:rsidRDefault="003407E2" w:rsidP="003407E2">
      <w:pPr>
        <w:jc w:val="both"/>
        <w:rPr>
          <w:rFonts w:ascii="Arial" w:hAnsi="Arial" w:cs="Arial"/>
        </w:rPr>
      </w:pPr>
    </w:p>
    <w:p w:rsidR="007A5E9F" w:rsidRDefault="007A5E9F" w:rsidP="003407E2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7A5E9F" w:rsidRDefault="007A5E9F" w:rsidP="003407E2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7A5E9F" w:rsidRDefault="007A5E9F" w:rsidP="003407E2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F562D9" w:rsidRDefault="003407E2" w:rsidP="00F562D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="00F562D9" w:rsidRPr="00F562D9">
        <w:rPr>
          <w:rFonts w:ascii="Arial" w:eastAsia="Times New Roman" w:hAnsi="Arial" w:cs="Arial"/>
          <w:lang w:eastAsia="hr-HR"/>
        </w:rPr>
        <w:t xml:space="preserve">       </w:t>
      </w:r>
      <w:r w:rsidR="00F562D9">
        <w:rPr>
          <w:rFonts w:ascii="Arial" w:eastAsia="Times New Roman" w:hAnsi="Arial" w:cs="Arial"/>
          <w:lang w:eastAsia="hr-HR"/>
        </w:rPr>
        <w:tab/>
      </w:r>
      <w:r w:rsidR="00F562D9">
        <w:rPr>
          <w:rFonts w:ascii="Arial" w:eastAsia="Times New Roman" w:hAnsi="Arial" w:cs="Arial"/>
          <w:lang w:eastAsia="hr-HR"/>
        </w:rPr>
        <w:tab/>
      </w:r>
      <w:r w:rsidR="00F562D9">
        <w:rPr>
          <w:rFonts w:ascii="Arial" w:eastAsia="Times New Roman" w:hAnsi="Arial" w:cs="Arial"/>
          <w:lang w:eastAsia="hr-HR"/>
        </w:rPr>
        <w:tab/>
      </w:r>
      <w:r w:rsidR="00F562D9">
        <w:rPr>
          <w:rFonts w:ascii="Arial" w:eastAsia="Times New Roman" w:hAnsi="Arial" w:cs="Arial"/>
          <w:lang w:eastAsia="hr-HR"/>
        </w:rPr>
        <w:tab/>
      </w:r>
      <w:r w:rsidR="00F562D9">
        <w:rPr>
          <w:rFonts w:ascii="Arial" w:eastAsia="Times New Roman" w:hAnsi="Arial" w:cs="Arial"/>
          <w:lang w:eastAsia="hr-HR"/>
        </w:rPr>
        <w:tab/>
      </w:r>
      <w:r w:rsidR="00F562D9">
        <w:rPr>
          <w:rFonts w:ascii="Arial" w:eastAsia="Times New Roman" w:hAnsi="Arial" w:cs="Arial"/>
          <w:lang w:eastAsia="hr-HR"/>
        </w:rPr>
        <w:tab/>
      </w:r>
      <w:r w:rsidR="00F562D9">
        <w:rPr>
          <w:rFonts w:ascii="Arial" w:eastAsia="Times New Roman" w:hAnsi="Arial" w:cs="Arial"/>
          <w:lang w:eastAsia="hr-HR"/>
        </w:rPr>
        <w:tab/>
      </w:r>
      <w:r w:rsidR="00F562D9">
        <w:rPr>
          <w:rFonts w:ascii="Arial" w:eastAsia="Times New Roman" w:hAnsi="Arial" w:cs="Arial"/>
          <w:lang w:eastAsia="hr-HR"/>
        </w:rPr>
        <w:tab/>
      </w:r>
      <w:r w:rsidR="00F562D9">
        <w:rPr>
          <w:rFonts w:ascii="Arial" w:eastAsia="Times New Roman" w:hAnsi="Arial" w:cs="Arial"/>
          <w:lang w:eastAsia="hr-HR"/>
        </w:rPr>
        <w:tab/>
      </w:r>
    </w:p>
    <w:p w:rsidR="00F562D9" w:rsidRPr="00F562D9" w:rsidRDefault="00F562D9" w:rsidP="00F562D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 w:rsidRPr="00F562D9">
        <w:rPr>
          <w:rFonts w:ascii="Arial" w:eastAsia="Times New Roman" w:hAnsi="Arial" w:cs="Arial"/>
          <w:lang w:eastAsia="hr-HR"/>
        </w:rPr>
        <w:t xml:space="preserve">  PROČELNICA</w:t>
      </w:r>
    </w:p>
    <w:p w:rsidR="00F562D9" w:rsidRPr="00F562D9" w:rsidRDefault="00F562D9" w:rsidP="00F562D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562D9">
        <w:rPr>
          <w:rFonts w:ascii="Arial" w:eastAsia="Times New Roman" w:hAnsi="Arial" w:cs="Arial"/>
          <w:lang w:eastAsia="hr-HR"/>
        </w:rPr>
        <w:tab/>
      </w:r>
      <w:r w:rsidRPr="00F562D9">
        <w:rPr>
          <w:rFonts w:ascii="Arial" w:eastAsia="Times New Roman" w:hAnsi="Arial" w:cs="Arial"/>
          <w:lang w:eastAsia="hr-HR"/>
        </w:rPr>
        <w:tab/>
      </w:r>
      <w:r w:rsidRPr="00F562D9">
        <w:rPr>
          <w:rFonts w:ascii="Arial" w:eastAsia="Times New Roman" w:hAnsi="Arial" w:cs="Arial"/>
          <w:lang w:eastAsia="hr-HR"/>
        </w:rPr>
        <w:tab/>
      </w:r>
      <w:r w:rsidRPr="00F562D9">
        <w:rPr>
          <w:rFonts w:ascii="Arial" w:eastAsia="Times New Roman" w:hAnsi="Arial" w:cs="Arial"/>
          <w:lang w:eastAsia="hr-HR"/>
        </w:rPr>
        <w:tab/>
      </w:r>
      <w:r w:rsidRPr="00F562D9">
        <w:rPr>
          <w:rFonts w:ascii="Arial" w:eastAsia="Times New Roman" w:hAnsi="Arial" w:cs="Arial"/>
          <w:lang w:eastAsia="hr-HR"/>
        </w:rPr>
        <w:tab/>
      </w:r>
      <w:r w:rsidRPr="00F562D9">
        <w:rPr>
          <w:rFonts w:ascii="Arial" w:eastAsia="Times New Roman" w:hAnsi="Arial" w:cs="Arial"/>
          <w:lang w:eastAsia="hr-HR"/>
        </w:rPr>
        <w:tab/>
        <w:t xml:space="preserve">        Upravnog odjela za financije i gospodarstvo</w:t>
      </w:r>
    </w:p>
    <w:p w:rsidR="00927693" w:rsidRPr="00927693" w:rsidRDefault="00F562D9" w:rsidP="00F562D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562D9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                  </w:t>
      </w:r>
      <w:r w:rsidR="006E65EA">
        <w:rPr>
          <w:rFonts w:ascii="Arial" w:eastAsia="Times New Roman" w:hAnsi="Arial" w:cs="Arial"/>
          <w:lang w:eastAsia="hr-HR"/>
        </w:rPr>
        <w:t>Nives Jakac</w:t>
      </w:r>
      <w:r w:rsidRPr="00F562D9">
        <w:rPr>
          <w:rFonts w:ascii="Arial" w:hAnsi="Arial" w:cs="Arial"/>
        </w:rPr>
        <w:tab/>
      </w:r>
    </w:p>
    <w:sectPr w:rsidR="00927693" w:rsidRPr="00927693" w:rsidSect="008B3476">
      <w:footerReference w:type="default" r:id="rId8"/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ABA" w:rsidRDefault="00B37ABA" w:rsidP="000B3945">
      <w:pPr>
        <w:spacing w:after="0" w:line="240" w:lineRule="auto"/>
      </w:pPr>
      <w:r>
        <w:separator/>
      </w:r>
    </w:p>
  </w:endnote>
  <w:endnote w:type="continuationSeparator" w:id="0">
    <w:p w:rsidR="00B37ABA" w:rsidRDefault="00B37ABA" w:rsidP="000B3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722976"/>
      <w:docPartObj>
        <w:docPartGallery w:val="Page Numbers (Bottom of Page)"/>
        <w:docPartUnique/>
      </w:docPartObj>
    </w:sdtPr>
    <w:sdtEndPr/>
    <w:sdtContent>
      <w:p w:rsidR="00B37ABA" w:rsidRDefault="00B37AB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C83">
          <w:rPr>
            <w:noProof/>
          </w:rPr>
          <w:t>4</w:t>
        </w:r>
        <w:r>
          <w:fldChar w:fldCharType="end"/>
        </w:r>
      </w:p>
    </w:sdtContent>
  </w:sdt>
  <w:p w:rsidR="00B37ABA" w:rsidRDefault="00B37AB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ABA" w:rsidRDefault="00B37ABA" w:rsidP="000B3945">
      <w:pPr>
        <w:spacing w:after="0" w:line="240" w:lineRule="auto"/>
      </w:pPr>
      <w:r>
        <w:separator/>
      </w:r>
    </w:p>
  </w:footnote>
  <w:footnote w:type="continuationSeparator" w:id="0">
    <w:p w:rsidR="00B37ABA" w:rsidRDefault="00B37ABA" w:rsidP="000B3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430B"/>
    <w:multiLevelType w:val="hybridMultilevel"/>
    <w:tmpl w:val="887432B8"/>
    <w:lvl w:ilvl="0" w:tplc="7D440D7C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" w15:restartNumberingAfterBreak="0">
    <w:nsid w:val="36772BD3"/>
    <w:multiLevelType w:val="hybridMultilevel"/>
    <w:tmpl w:val="46A49236"/>
    <w:lvl w:ilvl="0" w:tplc="851276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E5EE9"/>
    <w:multiLevelType w:val="hybridMultilevel"/>
    <w:tmpl w:val="CE32CD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425C5"/>
    <w:multiLevelType w:val="hybridMultilevel"/>
    <w:tmpl w:val="2782FE5C"/>
    <w:lvl w:ilvl="0" w:tplc="BF2A4A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89"/>
    <w:rsid w:val="00013226"/>
    <w:rsid w:val="00017F68"/>
    <w:rsid w:val="00020A73"/>
    <w:rsid w:val="00044BF2"/>
    <w:rsid w:val="00056532"/>
    <w:rsid w:val="00060B90"/>
    <w:rsid w:val="0006115F"/>
    <w:rsid w:val="00061F56"/>
    <w:rsid w:val="00062C79"/>
    <w:rsid w:val="0006504C"/>
    <w:rsid w:val="00083505"/>
    <w:rsid w:val="00094139"/>
    <w:rsid w:val="000A255B"/>
    <w:rsid w:val="000B3945"/>
    <w:rsid w:val="000C282B"/>
    <w:rsid w:val="000C5632"/>
    <w:rsid w:val="000D1085"/>
    <w:rsid w:val="000D18C7"/>
    <w:rsid w:val="000D566F"/>
    <w:rsid w:val="000D6224"/>
    <w:rsid w:val="000E411C"/>
    <w:rsid w:val="001040E9"/>
    <w:rsid w:val="001328CD"/>
    <w:rsid w:val="00146517"/>
    <w:rsid w:val="001560FC"/>
    <w:rsid w:val="001B0D3C"/>
    <w:rsid w:val="001B38BB"/>
    <w:rsid w:val="001C4110"/>
    <w:rsid w:val="001C60A7"/>
    <w:rsid w:val="001E56AB"/>
    <w:rsid w:val="002050B5"/>
    <w:rsid w:val="00205375"/>
    <w:rsid w:val="0020707C"/>
    <w:rsid w:val="00232CFA"/>
    <w:rsid w:val="002646F4"/>
    <w:rsid w:val="00267E0F"/>
    <w:rsid w:val="00291ABA"/>
    <w:rsid w:val="002947B1"/>
    <w:rsid w:val="002A0157"/>
    <w:rsid w:val="002A06B8"/>
    <w:rsid w:val="002A1A71"/>
    <w:rsid w:val="002C28FB"/>
    <w:rsid w:val="002C747B"/>
    <w:rsid w:val="002D2A0E"/>
    <w:rsid w:val="002F7C1A"/>
    <w:rsid w:val="00306AEE"/>
    <w:rsid w:val="00313155"/>
    <w:rsid w:val="003223E7"/>
    <w:rsid w:val="0032630A"/>
    <w:rsid w:val="0032685B"/>
    <w:rsid w:val="003407E2"/>
    <w:rsid w:val="0034548A"/>
    <w:rsid w:val="00361689"/>
    <w:rsid w:val="00366E70"/>
    <w:rsid w:val="00375719"/>
    <w:rsid w:val="00384ECA"/>
    <w:rsid w:val="00386866"/>
    <w:rsid w:val="00393CAB"/>
    <w:rsid w:val="003A4A37"/>
    <w:rsid w:val="003A6F64"/>
    <w:rsid w:val="003C5B37"/>
    <w:rsid w:val="003D1B40"/>
    <w:rsid w:val="003D633F"/>
    <w:rsid w:val="003D676A"/>
    <w:rsid w:val="003E3411"/>
    <w:rsid w:val="003E38E8"/>
    <w:rsid w:val="003E51B9"/>
    <w:rsid w:val="003F03C2"/>
    <w:rsid w:val="00406A7F"/>
    <w:rsid w:val="004150F7"/>
    <w:rsid w:val="00433E1F"/>
    <w:rsid w:val="004556BF"/>
    <w:rsid w:val="00456BAB"/>
    <w:rsid w:val="004616AE"/>
    <w:rsid w:val="00462B2A"/>
    <w:rsid w:val="00464304"/>
    <w:rsid w:val="00475EA4"/>
    <w:rsid w:val="004775BD"/>
    <w:rsid w:val="00490318"/>
    <w:rsid w:val="004942CC"/>
    <w:rsid w:val="0049450D"/>
    <w:rsid w:val="0049625B"/>
    <w:rsid w:val="004A5AD7"/>
    <w:rsid w:val="004B3506"/>
    <w:rsid w:val="004C0100"/>
    <w:rsid w:val="004C1FBE"/>
    <w:rsid w:val="004C5D97"/>
    <w:rsid w:val="004D4C8D"/>
    <w:rsid w:val="00502D49"/>
    <w:rsid w:val="005071A6"/>
    <w:rsid w:val="0052066B"/>
    <w:rsid w:val="005221B6"/>
    <w:rsid w:val="00537C07"/>
    <w:rsid w:val="0054402C"/>
    <w:rsid w:val="00545AF5"/>
    <w:rsid w:val="005610D9"/>
    <w:rsid w:val="0056409C"/>
    <w:rsid w:val="00567743"/>
    <w:rsid w:val="00571051"/>
    <w:rsid w:val="0057722E"/>
    <w:rsid w:val="00580216"/>
    <w:rsid w:val="00596403"/>
    <w:rsid w:val="005A1DC5"/>
    <w:rsid w:val="005A60D5"/>
    <w:rsid w:val="005A7E70"/>
    <w:rsid w:val="005C097F"/>
    <w:rsid w:val="005C1008"/>
    <w:rsid w:val="005D2F5F"/>
    <w:rsid w:val="005D523C"/>
    <w:rsid w:val="005E2CEF"/>
    <w:rsid w:val="005F2385"/>
    <w:rsid w:val="00601DDB"/>
    <w:rsid w:val="00622283"/>
    <w:rsid w:val="00622F63"/>
    <w:rsid w:val="0062793E"/>
    <w:rsid w:val="00636E4B"/>
    <w:rsid w:val="00647972"/>
    <w:rsid w:val="00651C2E"/>
    <w:rsid w:val="00652748"/>
    <w:rsid w:val="006533B5"/>
    <w:rsid w:val="00653444"/>
    <w:rsid w:val="00654CC4"/>
    <w:rsid w:val="00654F53"/>
    <w:rsid w:val="00661322"/>
    <w:rsid w:val="00661CD3"/>
    <w:rsid w:val="0066641E"/>
    <w:rsid w:val="0067012C"/>
    <w:rsid w:val="00684A91"/>
    <w:rsid w:val="00684BBD"/>
    <w:rsid w:val="006A17A9"/>
    <w:rsid w:val="006D5C22"/>
    <w:rsid w:val="006E65EA"/>
    <w:rsid w:val="006E7879"/>
    <w:rsid w:val="006F1595"/>
    <w:rsid w:val="00701397"/>
    <w:rsid w:val="00701C57"/>
    <w:rsid w:val="007158D4"/>
    <w:rsid w:val="0072611B"/>
    <w:rsid w:val="00744405"/>
    <w:rsid w:val="00762DAD"/>
    <w:rsid w:val="00774BEE"/>
    <w:rsid w:val="00775A1A"/>
    <w:rsid w:val="00780057"/>
    <w:rsid w:val="007932B6"/>
    <w:rsid w:val="007A1C83"/>
    <w:rsid w:val="007A5E9F"/>
    <w:rsid w:val="007B389D"/>
    <w:rsid w:val="007B66CD"/>
    <w:rsid w:val="007C4E79"/>
    <w:rsid w:val="007E3F79"/>
    <w:rsid w:val="007E7698"/>
    <w:rsid w:val="0080371E"/>
    <w:rsid w:val="00805FFA"/>
    <w:rsid w:val="008111E3"/>
    <w:rsid w:val="00812A9D"/>
    <w:rsid w:val="008178F3"/>
    <w:rsid w:val="00821148"/>
    <w:rsid w:val="008254D7"/>
    <w:rsid w:val="008371B6"/>
    <w:rsid w:val="008575A2"/>
    <w:rsid w:val="00860E36"/>
    <w:rsid w:val="0086187A"/>
    <w:rsid w:val="0087226E"/>
    <w:rsid w:val="008820EF"/>
    <w:rsid w:val="00885332"/>
    <w:rsid w:val="00887BCC"/>
    <w:rsid w:val="00894BD0"/>
    <w:rsid w:val="008B3476"/>
    <w:rsid w:val="008B5E61"/>
    <w:rsid w:val="008C5AA3"/>
    <w:rsid w:val="008D2E16"/>
    <w:rsid w:val="008F551D"/>
    <w:rsid w:val="00905080"/>
    <w:rsid w:val="00920A2E"/>
    <w:rsid w:val="0092678F"/>
    <w:rsid w:val="00927693"/>
    <w:rsid w:val="0093145D"/>
    <w:rsid w:val="009361CB"/>
    <w:rsid w:val="00950723"/>
    <w:rsid w:val="009522FB"/>
    <w:rsid w:val="00954EB2"/>
    <w:rsid w:val="00962465"/>
    <w:rsid w:val="0096791B"/>
    <w:rsid w:val="00983FAF"/>
    <w:rsid w:val="009945BD"/>
    <w:rsid w:val="009A2A88"/>
    <w:rsid w:val="009B2C02"/>
    <w:rsid w:val="009B7AA5"/>
    <w:rsid w:val="009C5958"/>
    <w:rsid w:val="009D0F25"/>
    <w:rsid w:val="009D1A57"/>
    <w:rsid w:val="009E1AC5"/>
    <w:rsid w:val="009F4167"/>
    <w:rsid w:val="009F5BBC"/>
    <w:rsid w:val="00A001CC"/>
    <w:rsid w:val="00A25684"/>
    <w:rsid w:val="00A3436A"/>
    <w:rsid w:val="00A37966"/>
    <w:rsid w:val="00A41971"/>
    <w:rsid w:val="00A425CF"/>
    <w:rsid w:val="00A47744"/>
    <w:rsid w:val="00A672F8"/>
    <w:rsid w:val="00A75403"/>
    <w:rsid w:val="00A772A1"/>
    <w:rsid w:val="00AB1CC6"/>
    <w:rsid w:val="00AB35F5"/>
    <w:rsid w:val="00AB5F87"/>
    <w:rsid w:val="00AB789B"/>
    <w:rsid w:val="00AD2B1A"/>
    <w:rsid w:val="00AE2403"/>
    <w:rsid w:val="00AE2665"/>
    <w:rsid w:val="00AE47DA"/>
    <w:rsid w:val="00B1090F"/>
    <w:rsid w:val="00B11878"/>
    <w:rsid w:val="00B25F5C"/>
    <w:rsid w:val="00B26E5B"/>
    <w:rsid w:val="00B346F1"/>
    <w:rsid w:val="00B35A2E"/>
    <w:rsid w:val="00B37ABA"/>
    <w:rsid w:val="00B37CA3"/>
    <w:rsid w:val="00B47C95"/>
    <w:rsid w:val="00B542BC"/>
    <w:rsid w:val="00B62A6C"/>
    <w:rsid w:val="00B77D38"/>
    <w:rsid w:val="00B80273"/>
    <w:rsid w:val="00B87088"/>
    <w:rsid w:val="00B90E94"/>
    <w:rsid w:val="00B96E38"/>
    <w:rsid w:val="00B971D8"/>
    <w:rsid w:val="00BA794E"/>
    <w:rsid w:val="00BB145A"/>
    <w:rsid w:val="00BB197E"/>
    <w:rsid w:val="00BB1DB5"/>
    <w:rsid w:val="00BB3F82"/>
    <w:rsid w:val="00BD1AE7"/>
    <w:rsid w:val="00BD7650"/>
    <w:rsid w:val="00BD78FB"/>
    <w:rsid w:val="00BE3D92"/>
    <w:rsid w:val="00BF62D1"/>
    <w:rsid w:val="00C05DF3"/>
    <w:rsid w:val="00C12896"/>
    <w:rsid w:val="00C21545"/>
    <w:rsid w:val="00C23A44"/>
    <w:rsid w:val="00C45752"/>
    <w:rsid w:val="00C5241D"/>
    <w:rsid w:val="00C96D99"/>
    <w:rsid w:val="00CB18AF"/>
    <w:rsid w:val="00CB581B"/>
    <w:rsid w:val="00CC7BE5"/>
    <w:rsid w:val="00CD7578"/>
    <w:rsid w:val="00CF09EC"/>
    <w:rsid w:val="00D032D3"/>
    <w:rsid w:val="00D06975"/>
    <w:rsid w:val="00D20F4A"/>
    <w:rsid w:val="00D2616D"/>
    <w:rsid w:val="00D34674"/>
    <w:rsid w:val="00D43659"/>
    <w:rsid w:val="00D54BE8"/>
    <w:rsid w:val="00D556DA"/>
    <w:rsid w:val="00D578F7"/>
    <w:rsid w:val="00D57E24"/>
    <w:rsid w:val="00D608E3"/>
    <w:rsid w:val="00D62CB4"/>
    <w:rsid w:val="00D660D6"/>
    <w:rsid w:val="00D726F3"/>
    <w:rsid w:val="00D73F3F"/>
    <w:rsid w:val="00DA41FD"/>
    <w:rsid w:val="00DC2A73"/>
    <w:rsid w:val="00DD573D"/>
    <w:rsid w:val="00DE1127"/>
    <w:rsid w:val="00DE5F11"/>
    <w:rsid w:val="00DF06AB"/>
    <w:rsid w:val="00DF5C61"/>
    <w:rsid w:val="00E0033A"/>
    <w:rsid w:val="00E00921"/>
    <w:rsid w:val="00E06610"/>
    <w:rsid w:val="00E1033D"/>
    <w:rsid w:val="00E125D9"/>
    <w:rsid w:val="00E22A8A"/>
    <w:rsid w:val="00E24DA2"/>
    <w:rsid w:val="00E33895"/>
    <w:rsid w:val="00E339A0"/>
    <w:rsid w:val="00E34289"/>
    <w:rsid w:val="00E4176E"/>
    <w:rsid w:val="00E41ECD"/>
    <w:rsid w:val="00E45737"/>
    <w:rsid w:val="00E460B2"/>
    <w:rsid w:val="00E53615"/>
    <w:rsid w:val="00E557EE"/>
    <w:rsid w:val="00E6102A"/>
    <w:rsid w:val="00E65024"/>
    <w:rsid w:val="00E6531A"/>
    <w:rsid w:val="00E97804"/>
    <w:rsid w:val="00EB5BA6"/>
    <w:rsid w:val="00EB6598"/>
    <w:rsid w:val="00EB67B2"/>
    <w:rsid w:val="00ED33CD"/>
    <w:rsid w:val="00EE6B11"/>
    <w:rsid w:val="00EF0CC3"/>
    <w:rsid w:val="00EF1642"/>
    <w:rsid w:val="00EF4F1E"/>
    <w:rsid w:val="00F04B70"/>
    <w:rsid w:val="00F12F57"/>
    <w:rsid w:val="00F14AE8"/>
    <w:rsid w:val="00F1634C"/>
    <w:rsid w:val="00F25072"/>
    <w:rsid w:val="00F26F9E"/>
    <w:rsid w:val="00F37BEA"/>
    <w:rsid w:val="00F562D9"/>
    <w:rsid w:val="00F75996"/>
    <w:rsid w:val="00F76E5B"/>
    <w:rsid w:val="00F85616"/>
    <w:rsid w:val="00F91C51"/>
    <w:rsid w:val="00FA2788"/>
    <w:rsid w:val="00FA46A8"/>
    <w:rsid w:val="00FA7C97"/>
    <w:rsid w:val="00FC5429"/>
    <w:rsid w:val="00FE5DDD"/>
    <w:rsid w:val="00FF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942BC-8018-44E6-8EFF-B86872E7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B3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B3945"/>
  </w:style>
  <w:style w:type="paragraph" w:styleId="Podnoje">
    <w:name w:val="footer"/>
    <w:basedOn w:val="Normal"/>
    <w:link w:val="PodnojeChar"/>
    <w:uiPriority w:val="99"/>
    <w:unhideWhenUsed/>
    <w:rsid w:val="000B3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B3945"/>
  </w:style>
  <w:style w:type="paragraph" w:styleId="Tekstbalonia">
    <w:name w:val="Balloon Text"/>
    <w:basedOn w:val="Normal"/>
    <w:link w:val="TekstbaloniaChar"/>
    <w:uiPriority w:val="99"/>
    <w:semiHidden/>
    <w:unhideWhenUsed/>
    <w:rsid w:val="009D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1A5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722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E41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52207-976D-4A21-81AA-7D6FF210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5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Ornela Rumen</dc:creator>
  <cp:lastModifiedBy>Nives Jakac</cp:lastModifiedBy>
  <cp:revision>56</cp:revision>
  <cp:lastPrinted>2020-07-15T06:38:00Z</cp:lastPrinted>
  <dcterms:created xsi:type="dcterms:W3CDTF">2020-04-15T05:18:00Z</dcterms:created>
  <dcterms:modified xsi:type="dcterms:W3CDTF">2021-09-06T10:17:00Z</dcterms:modified>
</cp:coreProperties>
</file>