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DC44" w14:textId="77777777"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14:paraId="649BBEA5" w14:textId="77777777"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14:paraId="45EDA4A5" w14:textId="77777777" w:rsidR="00805FFA" w:rsidRPr="002339BB" w:rsidRDefault="00502D49" w:rsidP="00E34289">
      <w:pPr>
        <w:jc w:val="center"/>
        <w:rPr>
          <w:rFonts w:ascii="Arial" w:hAnsi="Arial" w:cs="Arial"/>
          <w:sz w:val="28"/>
          <w:szCs w:val="28"/>
        </w:rPr>
      </w:pPr>
      <w:r w:rsidRPr="002339BB">
        <w:rPr>
          <w:rFonts w:ascii="Arial" w:hAnsi="Arial" w:cs="Arial"/>
          <w:sz w:val="28"/>
          <w:szCs w:val="28"/>
        </w:rPr>
        <w:t>O</w:t>
      </w:r>
      <w:r w:rsidR="00E34289" w:rsidRPr="002339BB">
        <w:rPr>
          <w:rFonts w:ascii="Arial" w:hAnsi="Arial" w:cs="Arial"/>
          <w:sz w:val="28"/>
          <w:szCs w:val="28"/>
        </w:rPr>
        <w:t xml:space="preserve">BRAZLOŽENJE 1. IZMJENA I DOPUNA </w:t>
      </w:r>
    </w:p>
    <w:p w14:paraId="48D22C93" w14:textId="7AAA23A2" w:rsidR="00E34289" w:rsidRPr="002339BB" w:rsidRDefault="009D1A57" w:rsidP="00E34289">
      <w:pPr>
        <w:jc w:val="center"/>
        <w:rPr>
          <w:rFonts w:ascii="Arial" w:hAnsi="Arial" w:cs="Arial"/>
          <w:sz w:val="28"/>
          <w:szCs w:val="28"/>
        </w:rPr>
      </w:pPr>
      <w:r w:rsidRPr="002339BB">
        <w:rPr>
          <w:rFonts w:ascii="Arial" w:hAnsi="Arial" w:cs="Arial"/>
          <w:sz w:val="28"/>
          <w:szCs w:val="28"/>
        </w:rPr>
        <w:t>PRORAČUNA GRADA BUZETA ZA 202</w:t>
      </w:r>
      <w:r w:rsidR="00666DCD">
        <w:rPr>
          <w:rFonts w:ascii="Arial" w:hAnsi="Arial" w:cs="Arial"/>
          <w:sz w:val="28"/>
          <w:szCs w:val="28"/>
        </w:rPr>
        <w:t>2</w:t>
      </w:r>
      <w:r w:rsidR="00E34289" w:rsidRPr="002339BB">
        <w:rPr>
          <w:rFonts w:ascii="Arial" w:hAnsi="Arial" w:cs="Arial"/>
          <w:sz w:val="28"/>
          <w:szCs w:val="28"/>
        </w:rPr>
        <w:t>. GODINU</w:t>
      </w:r>
    </w:p>
    <w:p w14:paraId="4204ED0D" w14:textId="77777777" w:rsidR="00A75403" w:rsidRPr="002339BB" w:rsidRDefault="00A75403" w:rsidP="00E34289">
      <w:pPr>
        <w:jc w:val="both"/>
        <w:rPr>
          <w:rFonts w:ascii="Arial" w:hAnsi="Arial" w:cs="Arial"/>
        </w:rPr>
      </w:pPr>
    </w:p>
    <w:p w14:paraId="5206E9E8" w14:textId="77777777" w:rsidR="004C1FBE" w:rsidRPr="002339BB" w:rsidRDefault="004C1FBE" w:rsidP="00E34289">
      <w:pPr>
        <w:jc w:val="both"/>
        <w:rPr>
          <w:rFonts w:ascii="Arial" w:hAnsi="Arial" w:cs="Arial"/>
        </w:rPr>
      </w:pPr>
    </w:p>
    <w:p w14:paraId="6E484F7B" w14:textId="1C4547B8" w:rsidR="009B7AA5" w:rsidRDefault="00651C2E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Proračun Grada Buzeta za 202</w:t>
      </w:r>
      <w:r w:rsidR="00666DCD">
        <w:rPr>
          <w:rFonts w:ascii="Arial" w:hAnsi="Arial" w:cs="Arial"/>
        </w:rPr>
        <w:t>2</w:t>
      </w:r>
      <w:r w:rsidR="00F91C51" w:rsidRPr="002339BB">
        <w:rPr>
          <w:rFonts w:ascii="Arial" w:hAnsi="Arial" w:cs="Arial"/>
        </w:rPr>
        <w:t xml:space="preserve">. godinu </w:t>
      </w:r>
      <w:r w:rsidR="00666DCD">
        <w:rPr>
          <w:rFonts w:ascii="Arial" w:hAnsi="Arial" w:cs="Arial"/>
        </w:rPr>
        <w:t xml:space="preserve">sa projekcijama za </w:t>
      </w:r>
      <w:r w:rsidR="00F91C51" w:rsidRPr="002339BB">
        <w:rPr>
          <w:rFonts w:ascii="Arial" w:hAnsi="Arial" w:cs="Arial"/>
        </w:rPr>
        <w:t>202</w:t>
      </w:r>
      <w:r w:rsidR="00666DCD">
        <w:rPr>
          <w:rFonts w:ascii="Arial" w:hAnsi="Arial" w:cs="Arial"/>
        </w:rPr>
        <w:t>3</w:t>
      </w:r>
      <w:r w:rsidR="00F91C51" w:rsidRPr="002339BB">
        <w:rPr>
          <w:rFonts w:ascii="Arial" w:hAnsi="Arial" w:cs="Arial"/>
        </w:rPr>
        <w:t>. i 202</w:t>
      </w:r>
      <w:r w:rsidR="00666DCD">
        <w:rPr>
          <w:rFonts w:ascii="Arial" w:hAnsi="Arial" w:cs="Arial"/>
        </w:rPr>
        <w:t>4</w:t>
      </w:r>
      <w:r w:rsidR="009B7AA5" w:rsidRPr="002339BB">
        <w:rPr>
          <w:rFonts w:ascii="Arial" w:hAnsi="Arial" w:cs="Arial"/>
        </w:rPr>
        <w:t>. godinu usvojen</w:t>
      </w:r>
      <w:r w:rsidR="00AC7BE3">
        <w:rPr>
          <w:rFonts w:ascii="Arial" w:hAnsi="Arial" w:cs="Arial"/>
        </w:rPr>
        <w:t xml:space="preserve"> je</w:t>
      </w:r>
      <w:r w:rsidR="009B7AA5" w:rsidRPr="002339BB">
        <w:rPr>
          <w:rFonts w:ascii="Arial" w:hAnsi="Arial" w:cs="Arial"/>
        </w:rPr>
        <w:t xml:space="preserve"> na sjednici Gradskog</w:t>
      </w:r>
      <w:r w:rsidR="00DE1127" w:rsidRPr="002339BB">
        <w:rPr>
          <w:rFonts w:ascii="Arial" w:hAnsi="Arial" w:cs="Arial"/>
        </w:rPr>
        <w:t xml:space="preserve"> vijeća Grada B</w:t>
      </w:r>
      <w:r w:rsidRPr="002339BB">
        <w:rPr>
          <w:rFonts w:ascii="Arial" w:hAnsi="Arial" w:cs="Arial"/>
        </w:rPr>
        <w:t xml:space="preserve">uzeta održanoj </w:t>
      </w:r>
      <w:r w:rsidR="00666DCD">
        <w:rPr>
          <w:rFonts w:ascii="Arial" w:hAnsi="Arial" w:cs="Arial"/>
        </w:rPr>
        <w:t>22.</w:t>
      </w:r>
      <w:r w:rsidR="002339BB" w:rsidRPr="002339BB">
        <w:rPr>
          <w:rFonts w:ascii="Arial" w:hAnsi="Arial" w:cs="Arial"/>
        </w:rPr>
        <w:t xml:space="preserve"> prosinca 202</w:t>
      </w:r>
      <w:r w:rsidR="00666DCD">
        <w:rPr>
          <w:rFonts w:ascii="Arial" w:hAnsi="Arial" w:cs="Arial"/>
        </w:rPr>
        <w:t>1</w:t>
      </w:r>
      <w:r w:rsidR="009B7AA5" w:rsidRPr="002339BB">
        <w:rPr>
          <w:rFonts w:ascii="Arial" w:hAnsi="Arial" w:cs="Arial"/>
        </w:rPr>
        <w:t>. godine i objavljen u ''Službenim no</w:t>
      </w:r>
      <w:r w:rsidRPr="002339BB">
        <w:rPr>
          <w:rFonts w:ascii="Arial" w:hAnsi="Arial" w:cs="Arial"/>
        </w:rPr>
        <w:t xml:space="preserve">vinama Grada Buzeta'' broj </w:t>
      </w:r>
      <w:r w:rsidR="002339BB" w:rsidRPr="002339BB">
        <w:rPr>
          <w:rFonts w:ascii="Arial" w:hAnsi="Arial" w:cs="Arial"/>
        </w:rPr>
        <w:t>1</w:t>
      </w:r>
      <w:r w:rsidR="00666DCD">
        <w:rPr>
          <w:rFonts w:ascii="Arial" w:hAnsi="Arial" w:cs="Arial"/>
        </w:rPr>
        <w:t>0</w:t>
      </w:r>
      <w:r w:rsidR="002339BB" w:rsidRPr="002339BB">
        <w:rPr>
          <w:rFonts w:ascii="Arial" w:hAnsi="Arial" w:cs="Arial"/>
        </w:rPr>
        <w:t>/2</w:t>
      </w:r>
      <w:r w:rsidR="00666DCD">
        <w:rPr>
          <w:rFonts w:ascii="Arial" w:hAnsi="Arial" w:cs="Arial"/>
        </w:rPr>
        <w:t>1</w:t>
      </w:r>
      <w:r w:rsidR="009B7AA5" w:rsidRPr="002339BB">
        <w:rPr>
          <w:rFonts w:ascii="Arial" w:hAnsi="Arial" w:cs="Arial"/>
        </w:rPr>
        <w:t>.</w:t>
      </w:r>
      <w:r w:rsidR="002050B5" w:rsidRPr="002339BB">
        <w:rPr>
          <w:rFonts w:ascii="Arial" w:hAnsi="Arial" w:cs="Arial"/>
        </w:rPr>
        <w:t>).</w:t>
      </w:r>
      <w:r w:rsidR="00A75403" w:rsidRPr="002339BB">
        <w:rPr>
          <w:rFonts w:ascii="Arial" w:hAnsi="Arial" w:cs="Arial"/>
        </w:rPr>
        <w:t xml:space="preserve"> </w:t>
      </w:r>
      <w:r w:rsidR="009B7AA5" w:rsidRPr="002339BB">
        <w:rPr>
          <w:rFonts w:ascii="Arial" w:hAnsi="Arial" w:cs="Arial"/>
        </w:rPr>
        <w:t>Zakonom o proračunu (</w:t>
      </w:r>
      <w:r w:rsidR="0072611B" w:rsidRPr="002339BB">
        <w:rPr>
          <w:rFonts w:ascii="Arial" w:hAnsi="Arial" w:cs="Arial"/>
        </w:rPr>
        <w:t>''</w:t>
      </w:r>
      <w:r w:rsidR="009B7AA5" w:rsidRPr="002339BB">
        <w:rPr>
          <w:rFonts w:ascii="Arial" w:hAnsi="Arial" w:cs="Arial"/>
        </w:rPr>
        <w:t>Narodne novine</w:t>
      </w:r>
      <w:r w:rsidR="0072611B" w:rsidRPr="002339BB">
        <w:rPr>
          <w:rFonts w:ascii="Arial" w:hAnsi="Arial" w:cs="Arial"/>
        </w:rPr>
        <w:t>''</w:t>
      </w:r>
      <w:r w:rsidR="009B7AA5" w:rsidRPr="002339BB">
        <w:rPr>
          <w:rFonts w:ascii="Arial" w:hAnsi="Arial" w:cs="Arial"/>
        </w:rPr>
        <w:t xml:space="preserve">, broj </w:t>
      </w:r>
      <w:r w:rsidR="00666DCD">
        <w:rPr>
          <w:rFonts w:ascii="Arial" w:hAnsi="Arial" w:cs="Arial"/>
        </w:rPr>
        <w:t>144/21</w:t>
      </w:r>
      <w:r w:rsidR="009B7AA5" w:rsidRPr="002339BB">
        <w:rPr>
          <w:rFonts w:ascii="Arial" w:hAnsi="Arial" w:cs="Arial"/>
        </w:rPr>
        <w:t xml:space="preserve">) utvrđeno je da, ako se tijekom proračunske godine povećaju odnosno smanje prihodi i rashodi, proračun </w:t>
      </w:r>
      <w:r w:rsidR="005610D9" w:rsidRPr="002339BB">
        <w:rPr>
          <w:rFonts w:ascii="Arial" w:hAnsi="Arial" w:cs="Arial"/>
        </w:rPr>
        <w:t xml:space="preserve">se mora uravnotežiti. </w:t>
      </w:r>
      <w:r w:rsidR="00666DCD">
        <w:rPr>
          <w:rFonts w:ascii="Arial" w:hAnsi="Arial" w:cs="Arial"/>
        </w:rPr>
        <w:t xml:space="preserve">Uravnoteženje proračuna provodi se tijekom proračunske godine izmjenama i dopunama proračuna. </w:t>
      </w:r>
      <w:r w:rsidR="005610D9" w:rsidRPr="002339BB">
        <w:rPr>
          <w:rFonts w:ascii="Arial" w:hAnsi="Arial" w:cs="Arial"/>
        </w:rPr>
        <w:t xml:space="preserve">Budući </w:t>
      </w:r>
      <w:r w:rsidR="0072611B" w:rsidRPr="002339BB">
        <w:rPr>
          <w:rFonts w:ascii="Arial" w:hAnsi="Arial" w:cs="Arial"/>
        </w:rPr>
        <w:t xml:space="preserve">da </w:t>
      </w:r>
      <w:r w:rsidR="005610D9" w:rsidRPr="002339BB">
        <w:rPr>
          <w:rFonts w:ascii="Arial" w:hAnsi="Arial" w:cs="Arial"/>
        </w:rPr>
        <w:t>su od donošen</w:t>
      </w:r>
      <w:r w:rsidRPr="002339BB">
        <w:rPr>
          <w:rFonts w:ascii="Arial" w:hAnsi="Arial" w:cs="Arial"/>
        </w:rPr>
        <w:t>ja Proračuna Grada Buzeta za 202</w:t>
      </w:r>
      <w:r w:rsidR="004C2DB7">
        <w:rPr>
          <w:rFonts w:ascii="Arial" w:hAnsi="Arial" w:cs="Arial"/>
        </w:rPr>
        <w:t>2</w:t>
      </w:r>
      <w:r w:rsidR="005610D9" w:rsidRPr="002339BB">
        <w:rPr>
          <w:rFonts w:ascii="Arial" w:hAnsi="Arial" w:cs="Arial"/>
        </w:rPr>
        <w:t xml:space="preserve">. godinu nastale promjene koje nisu bile poznate u vrijeme njegova donošenja, a koje se odražavaju na prihodovnu i rashodovnu stranu proračuna, potrebno je izvršiti rebalans proračuna. </w:t>
      </w:r>
    </w:p>
    <w:p w14:paraId="08A26340" w14:textId="0B9A1C23" w:rsidR="005610D9" w:rsidRPr="002339BB" w:rsidRDefault="005610D9" w:rsidP="00E34289">
      <w:pPr>
        <w:jc w:val="both"/>
        <w:rPr>
          <w:rFonts w:ascii="Arial" w:hAnsi="Arial" w:cs="Arial"/>
          <w:b/>
        </w:rPr>
      </w:pPr>
      <w:r w:rsidRPr="002339BB">
        <w:rPr>
          <w:rFonts w:ascii="Arial" w:hAnsi="Arial" w:cs="Arial"/>
          <w:b/>
        </w:rPr>
        <w:t>Prvim izmjenama i dopunama Prorač</w:t>
      </w:r>
      <w:r w:rsidR="00651C2E" w:rsidRPr="002339BB">
        <w:rPr>
          <w:rFonts w:ascii="Arial" w:hAnsi="Arial" w:cs="Arial"/>
          <w:b/>
        </w:rPr>
        <w:t>una Grada Buzeta za 202</w:t>
      </w:r>
      <w:r w:rsidR="004C2DB7">
        <w:rPr>
          <w:rFonts w:ascii="Arial" w:hAnsi="Arial" w:cs="Arial"/>
          <w:b/>
        </w:rPr>
        <w:t>2</w:t>
      </w:r>
      <w:r w:rsidRPr="002339BB">
        <w:rPr>
          <w:rFonts w:ascii="Arial" w:hAnsi="Arial" w:cs="Arial"/>
          <w:b/>
        </w:rPr>
        <w:t>. godinu predlaže se pove</w:t>
      </w:r>
      <w:r w:rsidR="00651C2E" w:rsidRPr="002339BB">
        <w:rPr>
          <w:rFonts w:ascii="Arial" w:hAnsi="Arial" w:cs="Arial"/>
          <w:b/>
        </w:rPr>
        <w:t xml:space="preserve">ćanje proračuna za </w:t>
      </w:r>
      <w:r w:rsidR="00B6379C" w:rsidRPr="00B6379C">
        <w:rPr>
          <w:rFonts w:ascii="Arial" w:hAnsi="Arial" w:cs="Arial"/>
          <w:b/>
        </w:rPr>
        <w:t>6.842.913,05</w:t>
      </w:r>
      <w:r w:rsidR="003D1B40" w:rsidRPr="002339BB">
        <w:rPr>
          <w:rFonts w:ascii="Arial" w:hAnsi="Arial" w:cs="Arial"/>
          <w:b/>
        </w:rPr>
        <w:t xml:space="preserve"> kuna</w:t>
      </w:r>
      <w:r w:rsidR="00651C2E" w:rsidRPr="002339BB">
        <w:rPr>
          <w:rFonts w:ascii="Arial" w:hAnsi="Arial" w:cs="Arial"/>
          <w:b/>
        </w:rPr>
        <w:t xml:space="preserve"> odnosno za </w:t>
      </w:r>
      <w:r w:rsidR="00E90656">
        <w:rPr>
          <w:rFonts w:ascii="Arial" w:hAnsi="Arial" w:cs="Arial"/>
          <w:b/>
        </w:rPr>
        <w:t>12,</w:t>
      </w:r>
      <w:r w:rsidR="00B6379C">
        <w:rPr>
          <w:rFonts w:ascii="Arial" w:hAnsi="Arial" w:cs="Arial"/>
          <w:b/>
        </w:rPr>
        <w:t>61</w:t>
      </w:r>
      <w:r w:rsidRPr="002339BB">
        <w:rPr>
          <w:rFonts w:ascii="Arial" w:hAnsi="Arial" w:cs="Arial"/>
          <w:b/>
        </w:rPr>
        <w:t xml:space="preserve">%. </w:t>
      </w:r>
      <w:r w:rsidR="0072611B" w:rsidRPr="002339BB">
        <w:rPr>
          <w:rFonts w:ascii="Arial" w:hAnsi="Arial" w:cs="Arial"/>
        </w:rPr>
        <w:t xml:space="preserve">Ovim dokumentom </w:t>
      </w:r>
      <w:r w:rsidRPr="002339BB">
        <w:rPr>
          <w:rFonts w:ascii="Arial" w:hAnsi="Arial" w:cs="Arial"/>
        </w:rPr>
        <w:t xml:space="preserve">mijenja </w:t>
      </w:r>
      <w:r w:rsidR="0072611B" w:rsidRPr="002339BB">
        <w:rPr>
          <w:rFonts w:ascii="Arial" w:hAnsi="Arial" w:cs="Arial"/>
        </w:rPr>
        <w:t xml:space="preserve">se </w:t>
      </w:r>
      <w:r w:rsidR="00651C2E" w:rsidRPr="002339BB">
        <w:rPr>
          <w:rFonts w:ascii="Arial" w:hAnsi="Arial" w:cs="Arial"/>
        </w:rPr>
        <w:t>samo Proračun za 202</w:t>
      </w:r>
      <w:r w:rsidR="00E90656">
        <w:rPr>
          <w:rFonts w:ascii="Arial" w:hAnsi="Arial" w:cs="Arial"/>
        </w:rPr>
        <w:t>2</w:t>
      </w:r>
      <w:r w:rsidRPr="002339BB">
        <w:rPr>
          <w:rFonts w:ascii="Arial" w:hAnsi="Arial" w:cs="Arial"/>
        </w:rPr>
        <w:t>. godi</w:t>
      </w:r>
      <w:r w:rsidR="00BF62D1" w:rsidRPr="002339BB">
        <w:rPr>
          <w:rFonts w:ascii="Arial" w:hAnsi="Arial" w:cs="Arial"/>
        </w:rPr>
        <w:t>nu, projekcije proračuna za 202</w:t>
      </w:r>
      <w:r w:rsidR="002339BB" w:rsidRPr="002339BB">
        <w:rPr>
          <w:rFonts w:ascii="Arial" w:hAnsi="Arial" w:cs="Arial"/>
        </w:rPr>
        <w:t>2</w:t>
      </w:r>
      <w:r w:rsidR="00BF62D1" w:rsidRPr="002339BB">
        <w:rPr>
          <w:rFonts w:ascii="Arial" w:hAnsi="Arial" w:cs="Arial"/>
        </w:rPr>
        <w:t>. i 202</w:t>
      </w:r>
      <w:r w:rsidR="002339BB" w:rsidRPr="002339BB">
        <w:rPr>
          <w:rFonts w:ascii="Arial" w:hAnsi="Arial" w:cs="Arial"/>
        </w:rPr>
        <w:t>3</w:t>
      </w:r>
      <w:r w:rsidRPr="002339BB">
        <w:rPr>
          <w:rFonts w:ascii="Arial" w:hAnsi="Arial" w:cs="Arial"/>
        </w:rPr>
        <w:t>. godinu se ne mijenjaju.</w:t>
      </w:r>
      <w:r w:rsidR="003D633F" w:rsidRPr="002339BB">
        <w:rPr>
          <w:rFonts w:ascii="Arial" w:hAnsi="Arial" w:cs="Arial"/>
        </w:rPr>
        <w:t xml:space="preserve"> </w:t>
      </w:r>
    </w:p>
    <w:p w14:paraId="58C65488" w14:textId="59C9999D" w:rsidR="005610D9" w:rsidRPr="002339BB" w:rsidRDefault="001E56AB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U 1. izmjene i dopune Proračun</w:t>
      </w:r>
      <w:r w:rsidR="00651C2E" w:rsidRPr="002339BB">
        <w:rPr>
          <w:rFonts w:ascii="Arial" w:hAnsi="Arial" w:cs="Arial"/>
        </w:rPr>
        <w:t>a Grada Buzeta za 202</w:t>
      </w:r>
      <w:r w:rsidR="00E90656">
        <w:rPr>
          <w:rFonts w:ascii="Arial" w:hAnsi="Arial" w:cs="Arial"/>
        </w:rPr>
        <w:t>2</w:t>
      </w:r>
      <w:r w:rsidRPr="002339BB">
        <w:rPr>
          <w:rFonts w:ascii="Arial" w:hAnsi="Arial" w:cs="Arial"/>
        </w:rPr>
        <w:t xml:space="preserve">. godinu uključena </w:t>
      </w:r>
      <w:r w:rsidR="00651C2E" w:rsidRPr="002339BB">
        <w:rPr>
          <w:rFonts w:ascii="Arial" w:hAnsi="Arial" w:cs="Arial"/>
        </w:rPr>
        <w:t>je razlika viška prihoda iz 20</w:t>
      </w:r>
      <w:r w:rsidR="002339BB" w:rsidRPr="002339BB">
        <w:rPr>
          <w:rFonts w:ascii="Arial" w:hAnsi="Arial" w:cs="Arial"/>
        </w:rPr>
        <w:t>2</w:t>
      </w:r>
      <w:r w:rsidR="00E90656">
        <w:rPr>
          <w:rFonts w:ascii="Arial" w:hAnsi="Arial" w:cs="Arial"/>
        </w:rPr>
        <w:t>1</w:t>
      </w:r>
      <w:r w:rsidRPr="002339BB">
        <w:rPr>
          <w:rFonts w:ascii="Arial" w:hAnsi="Arial" w:cs="Arial"/>
        </w:rPr>
        <w:t xml:space="preserve">. godine za Grad Buzet te viškovi prihoda iz prethodne godine za svih 11 Mjesnih odbora i 4 proračunska </w:t>
      </w:r>
      <w:r w:rsidR="00A37966" w:rsidRPr="002339BB">
        <w:rPr>
          <w:rFonts w:ascii="Arial" w:hAnsi="Arial" w:cs="Arial"/>
        </w:rPr>
        <w:t>korisnika</w:t>
      </w:r>
      <w:r w:rsidRPr="002339BB">
        <w:rPr>
          <w:rFonts w:ascii="Arial" w:hAnsi="Arial" w:cs="Arial"/>
        </w:rPr>
        <w:t xml:space="preserve"> (Dječji vrtić, Dom za starije osobe, Pučko otvoreno učilište i Javn</w:t>
      </w:r>
      <w:r w:rsidR="003D633F" w:rsidRPr="002339BB">
        <w:rPr>
          <w:rFonts w:ascii="Arial" w:hAnsi="Arial" w:cs="Arial"/>
        </w:rPr>
        <w:t xml:space="preserve">u vatrogasnu postrojbu) u ukupnom iznosu od </w:t>
      </w:r>
      <w:r w:rsidR="00E90656">
        <w:rPr>
          <w:rFonts w:ascii="Arial" w:hAnsi="Arial" w:cs="Arial"/>
        </w:rPr>
        <w:t>5.592.066,55</w:t>
      </w:r>
      <w:r w:rsidR="002339BB" w:rsidRPr="002339BB">
        <w:rPr>
          <w:rFonts w:ascii="Arial" w:hAnsi="Arial" w:cs="Arial"/>
        </w:rPr>
        <w:t xml:space="preserve"> </w:t>
      </w:r>
      <w:r w:rsidR="003D633F" w:rsidRPr="002339BB">
        <w:rPr>
          <w:rFonts w:ascii="Arial" w:hAnsi="Arial" w:cs="Arial"/>
        </w:rPr>
        <w:t>kn.</w:t>
      </w:r>
    </w:p>
    <w:p w14:paraId="4BA5CDC8" w14:textId="77777777" w:rsidR="004C1FBE" w:rsidRPr="002339BB" w:rsidRDefault="004C1FBE" w:rsidP="00E34289">
      <w:pPr>
        <w:jc w:val="both"/>
        <w:rPr>
          <w:rFonts w:ascii="Arial" w:hAnsi="Arial" w:cs="Arial"/>
        </w:rPr>
      </w:pPr>
    </w:p>
    <w:p w14:paraId="32D44C78" w14:textId="3A32F265" w:rsidR="002339BB" w:rsidRPr="005E6C0B" w:rsidRDefault="003D633F" w:rsidP="004C1FBE">
      <w:pPr>
        <w:jc w:val="both"/>
        <w:rPr>
          <w:rFonts w:ascii="Arial" w:hAnsi="Arial" w:cs="Arial"/>
          <w:bCs/>
        </w:rPr>
      </w:pPr>
      <w:r w:rsidRPr="005E6C0B">
        <w:rPr>
          <w:rFonts w:ascii="Arial" w:hAnsi="Arial" w:cs="Arial"/>
          <w:bCs/>
        </w:rPr>
        <w:t>U</w:t>
      </w:r>
      <w:r w:rsidR="002339BB" w:rsidRPr="005E6C0B">
        <w:rPr>
          <w:rFonts w:ascii="Arial" w:hAnsi="Arial" w:cs="Arial"/>
          <w:bCs/>
        </w:rPr>
        <w:t>z</w:t>
      </w:r>
      <w:r w:rsidRPr="005E6C0B">
        <w:rPr>
          <w:rFonts w:ascii="Arial" w:hAnsi="Arial" w:cs="Arial"/>
          <w:bCs/>
        </w:rPr>
        <w:t xml:space="preserve"> </w:t>
      </w:r>
      <w:r w:rsidR="00B25F5C" w:rsidRPr="005E6C0B">
        <w:rPr>
          <w:rFonts w:ascii="Arial" w:hAnsi="Arial" w:cs="Arial"/>
          <w:bCs/>
        </w:rPr>
        <w:t>povećanj</w:t>
      </w:r>
      <w:r w:rsidR="002339BB" w:rsidRPr="005E6C0B">
        <w:rPr>
          <w:rFonts w:ascii="Arial" w:hAnsi="Arial" w:cs="Arial"/>
          <w:bCs/>
        </w:rPr>
        <w:t>e</w:t>
      </w:r>
      <w:r w:rsidRPr="005E6C0B">
        <w:rPr>
          <w:rFonts w:ascii="Arial" w:hAnsi="Arial" w:cs="Arial"/>
          <w:bCs/>
        </w:rPr>
        <w:t xml:space="preserve"> namjenskih prihoda </w:t>
      </w:r>
      <w:r w:rsidR="002339BB" w:rsidRPr="005E6C0B">
        <w:rPr>
          <w:rFonts w:ascii="Arial" w:hAnsi="Arial" w:cs="Arial"/>
          <w:bCs/>
        </w:rPr>
        <w:t xml:space="preserve">od viška prihoda iz prethodne godine, </w:t>
      </w:r>
      <w:r w:rsidR="00267314" w:rsidRPr="005E6C0B">
        <w:rPr>
          <w:rFonts w:ascii="Arial" w:hAnsi="Arial" w:cs="Arial"/>
          <w:bCs/>
        </w:rPr>
        <w:t>planirano je povećanje prihoda od poreza na dohodak temeljem bolje realizacije u 2022. godini u odnosu na planiranu proračunom za 2022. godinu</w:t>
      </w:r>
      <w:r w:rsidR="004A1F07" w:rsidRPr="005E6C0B">
        <w:rPr>
          <w:rFonts w:ascii="Arial" w:hAnsi="Arial" w:cs="Arial"/>
          <w:bCs/>
        </w:rPr>
        <w:t>, povećanje prihoda po posebnim propisima, temeljem bolje realizacije u 2022</w:t>
      </w:r>
      <w:r w:rsidR="00692D04" w:rsidRPr="005E6C0B">
        <w:rPr>
          <w:rFonts w:ascii="Arial" w:hAnsi="Arial" w:cs="Arial"/>
          <w:bCs/>
        </w:rPr>
        <w:t xml:space="preserve"> a smanjuju se prihodi od </w:t>
      </w:r>
      <w:r w:rsidR="007F51B0" w:rsidRPr="005E6C0B">
        <w:rPr>
          <w:rFonts w:ascii="Arial" w:hAnsi="Arial" w:cs="Arial"/>
          <w:bCs/>
        </w:rPr>
        <w:t>pomoći iz inozemstva i od subjekata općeg proračuna</w:t>
      </w:r>
      <w:r w:rsidR="00692D04" w:rsidRPr="005E6C0B">
        <w:rPr>
          <w:rFonts w:ascii="Arial" w:hAnsi="Arial" w:cs="Arial"/>
          <w:bCs/>
        </w:rPr>
        <w:t xml:space="preserve">, razlog je </w:t>
      </w:r>
      <w:r w:rsidR="004A1F07" w:rsidRPr="005E6C0B">
        <w:rPr>
          <w:rFonts w:ascii="Arial" w:hAnsi="Arial" w:cs="Arial"/>
          <w:bCs/>
        </w:rPr>
        <w:t xml:space="preserve">realizacija prihoda </w:t>
      </w:r>
      <w:r w:rsidR="00692D04" w:rsidRPr="005E6C0B">
        <w:rPr>
          <w:rFonts w:ascii="Arial" w:hAnsi="Arial" w:cs="Arial"/>
          <w:bCs/>
        </w:rPr>
        <w:t>u proračun</w:t>
      </w:r>
      <w:r w:rsidR="004A1F07" w:rsidRPr="005E6C0B">
        <w:rPr>
          <w:rFonts w:ascii="Arial" w:hAnsi="Arial" w:cs="Arial"/>
          <w:bCs/>
        </w:rPr>
        <w:t>u</w:t>
      </w:r>
      <w:r w:rsidR="00692D04" w:rsidRPr="005E6C0B">
        <w:rPr>
          <w:rFonts w:ascii="Arial" w:hAnsi="Arial" w:cs="Arial"/>
          <w:bCs/>
        </w:rPr>
        <w:t xml:space="preserve"> Grada Buzeta u drugoj polovici prosinca, 2021</w:t>
      </w:r>
      <w:r w:rsidR="004A1F07" w:rsidRPr="005E6C0B">
        <w:rPr>
          <w:rFonts w:ascii="Arial" w:hAnsi="Arial" w:cs="Arial"/>
          <w:bCs/>
        </w:rPr>
        <w:t xml:space="preserve">.  U </w:t>
      </w:r>
      <w:r w:rsidR="002A4E67" w:rsidRPr="005E6C0B">
        <w:rPr>
          <w:rFonts w:ascii="Arial" w:hAnsi="Arial" w:cs="Arial"/>
          <w:bCs/>
        </w:rPr>
        <w:t xml:space="preserve">drugoj polovici 2022 godine planira se Rekonstrukcija </w:t>
      </w:r>
      <w:r w:rsidR="002F6F51">
        <w:rPr>
          <w:rFonts w:ascii="Arial" w:hAnsi="Arial" w:cs="Arial"/>
          <w:bCs/>
        </w:rPr>
        <w:t xml:space="preserve">(modernizacija) </w:t>
      </w:r>
      <w:r w:rsidR="002A4E67" w:rsidRPr="005E6C0B">
        <w:rPr>
          <w:rFonts w:ascii="Arial" w:hAnsi="Arial" w:cs="Arial"/>
          <w:bCs/>
        </w:rPr>
        <w:t>sustava javne rasvjete,  za što Grad planira zaduženje kod financijske institucije</w:t>
      </w:r>
      <w:r w:rsidR="005E6C0B" w:rsidRPr="005E6C0B">
        <w:rPr>
          <w:rFonts w:ascii="Arial" w:hAnsi="Arial" w:cs="Arial"/>
          <w:bCs/>
        </w:rPr>
        <w:t xml:space="preserve"> u iznosu od </w:t>
      </w:r>
      <w:r w:rsidR="002A4E67" w:rsidRPr="005E6C0B">
        <w:rPr>
          <w:rFonts w:ascii="Arial" w:hAnsi="Arial" w:cs="Arial"/>
          <w:bCs/>
        </w:rPr>
        <w:t>3.500.000,00 kuna.</w:t>
      </w:r>
    </w:p>
    <w:p w14:paraId="15867721" w14:textId="77777777" w:rsidR="002339BB" w:rsidRPr="00C5241D" w:rsidRDefault="002339BB" w:rsidP="002339B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Izmjene Proračuna se sastoje od:</w:t>
      </w:r>
    </w:p>
    <w:p w14:paraId="6294F72A" w14:textId="77777777" w:rsidR="002339BB" w:rsidRPr="00C5241D" w:rsidRDefault="002339BB" w:rsidP="002339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Općeg dijela Proračuna kojeg čini Račun prihoda i rashoda,</w:t>
      </w:r>
    </w:p>
    <w:p w14:paraId="07DAFFB8" w14:textId="77777777" w:rsidR="002339BB" w:rsidRPr="00C5241D" w:rsidRDefault="002339BB" w:rsidP="002339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Posebnog dijela Proračuna u kojem su rashodi poslovanja i rashodi za nabavu nefinancijske imovine raspoređeni po nositeljima i korisnicima te prikazani po programima, aktivnostima, izvorima financiranja te funkcijskoj klasifikaciji,</w:t>
      </w:r>
    </w:p>
    <w:p w14:paraId="7790FA2D" w14:textId="4F89E601" w:rsidR="002339BB" w:rsidRPr="00AF0467" w:rsidRDefault="002339BB" w:rsidP="002F6F51">
      <w:pPr>
        <w:pStyle w:val="Odlomakpopisa"/>
        <w:jc w:val="both"/>
        <w:rPr>
          <w:rFonts w:ascii="Arial" w:hAnsi="Arial" w:cs="Arial"/>
          <w:b/>
          <w:sz w:val="22"/>
        </w:rPr>
      </w:pPr>
    </w:p>
    <w:p w14:paraId="0FDA835E" w14:textId="77777777" w:rsidR="003D633F" w:rsidRPr="002339BB" w:rsidRDefault="003D633F" w:rsidP="00E34289">
      <w:pPr>
        <w:jc w:val="both"/>
        <w:rPr>
          <w:rFonts w:ascii="Arial" w:hAnsi="Arial" w:cs="Arial"/>
        </w:rPr>
      </w:pPr>
    </w:p>
    <w:p w14:paraId="4CEE59BB" w14:textId="2E2F6008" w:rsidR="00A75403" w:rsidRPr="002339BB" w:rsidRDefault="00E41ECD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U nastavku teksta slijedi obrazloženje općeg dijela proračuna odnosno ukupnih pr</w:t>
      </w:r>
      <w:r w:rsidR="002339BB" w:rsidRPr="002339BB">
        <w:rPr>
          <w:rFonts w:ascii="Arial" w:hAnsi="Arial" w:cs="Arial"/>
        </w:rPr>
        <w:t>ihoda i rashoda koji se predlaž</w:t>
      </w:r>
      <w:r w:rsidR="00AF0467">
        <w:rPr>
          <w:rFonts w:ascii="Arial" w:hAnsi="Arial" w:cs="Arial"/>
        </w:rPr>
        <w:t>u</w:t>
      </w:r>
      <w:r w:rsidRPr="002339BB">
        <w:rPr>
          <w:rFonts w:ascii="Arial" w:hAnsi="Arial" w:cs="Arial"/>
        </w:rPr>
        <w:t xml:space="preserve"> 1. izmjenama i dopunam</w:t>
      </w:r>
      <w:r w:rsidR="00651C2E" w:rsidRPr="002339BB">
        <w:rPr>
          <w:rFonts w:ascii="Arial" w:hAnsi="Arial" w:cs="Arial"/>
        </w:rPr>
        <w:t>a Proračuna Grada Buzeta za 202</w:t>
      </w:r>
      <w:r w:rsidR="005E6C0B">
        <w:rPr>
          <w:rFonts w:ascii="Arial" w:hAnsi="Arial" w:cs="Arial"/>
        </w:rPr>
        <w:t>2</w:t>
      </w:r>
      <w:r w:rsidRPr="002339BB">
        <w:rPr>
          <w:rFonts w:ascii="Arial" w:hAnsi="Arial" w:cs="Arial"/>
        </w:rPr>
        <w:t>. godinu.</w:t>
      </w:r>
      <w:r w:rsidR="00A75403" w:rsidRPr="002339BB">
        <w:rPr>
          <w:rFonts w:ascii="Arial" w:hAnsi="Arial" w:cs="Arial"/>
        </w:rPr>
        <w:t xml:space="preserve"> </w:t>
      </w:r>
      <w:r w:rsidR="00E125D9" w:rsidRPr="002339BB">
        <w:rPr>
          <w:rFonts w:ascii="Arial" w:hAnsi="Arial" w:cs="Arial"/>
        </w:rPr>
        <w:t>Izmjene u posebnom dijelu proračuna odnosno promjene na stavkama rashoda i izdataka po pojedinim razdjelima čiji su nositelji upravni odjeli gradske uprave, detaljnije se obrazlažu uz pripadajuće izmjene i dopuna programa.</w:t>
      </w:r>
    </w:p>
    <w:p w14:paraId="6EF537B1" w14:textId="77777777" w:rsidR="00A75403" w:rsidRPr="008C598D" w:rsidRDefault="00A75403" w:rsidP="00E34289">
      <w:pPr>
        <w:jc w:val="both"/>
        <w:rPr>
          <w:rFonts w:ascii="Arial" w:hAnsi="Arial" w:cs="Arial"/>
          <w:highlight w:val="yellow"/>
        </w:rPr>
      </w:pPr>
    </w:p>
    <w:p w14:paraId="5893B9DD" w14:textId="77777777" w:rsidR="00A75403" w:rsidRPr="00D057A6" w:rsidRDefault="00A75403" w:rsidP="00E34289">
      <w:pPr>
        <w:jc w:val="both"/>
        <w:rPr>
          <w:rFonts w:ascii="Arial" w:hAnsi="Arial" w:cs="Arial"/>
          <w:b/>
          <w:sz w:val="24"/>
          <w:szCs w:val="24"/>
        </w:rPr>
      </w:pPr>
      <w:r w:rsidRPr="00D057A6">
        <w:rPr>
          <w:rFonts w:ascii="Arial" w:hAnsi="Arial" w:cs="Arial"/>
          <w:b/>
          <w:sz w:val="24"/>
          <w:szCs w:val="24"/>
        </w:rPr>
        <w:lastRenderedPageBreak/>
        <w:t>PRIHODI I PRIMICI PRORAČUNA</w:t>
      </w:r>
    </w:p>
    <w:p w14:paraId="364E2CFA" w14:textId="32361965" w:rsidR="00044BF2" w:rsidRDefault="00D578F7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057A6">
        <w:rPr>
          <w:rFonts w:ascii="Arial" w:hAnsi="Arial" w:cs="Arial"/>
          <w:b/>
          <w:i/>
          <w:sz w:val="20"/>
          <w:szCs w:val="20"/>
        </w:rPr>
        <w:t>Struktura 1. izmjena i dopun</w:t>
      </w:r>
      <w:r w:rsidR="000A255B" w:rsidRPr="00D057A6">
        <w:rPr>
          <w:rFonts w:ascii="Arial" w:hAnsi="Arial" w:cs="Arial"/>
          <w:b/>
          <w:i/>
          <w:sz w:val="20"/>
          <w:szCs w:val="20"/>
        </w:rPr>
        <w:t>a Proračuna Grada Buzeta</w:t>
      </w:r>
      <w:r w:rsidR="00651C2E" w:rsidRPr="00D057A6">
        <w:rPr>
          <w:rFonts w:ascii="Arial" w:hAnsi="Arial" w:cs="Arial"/>
          <w:b/>
          <w:i/>
          <w:sz w:val="20"/>
          <w:szCs w:val="20"/>
        </w:rPr>
        <w:t xml:space="preserve"> za 202</w:t>
      </w:r>
      <w:r w:rsidR="00E126CF">
        <w:rPr>
          <w:rFonts w:ascii="Arial" w:hAnsi="Arial" w:cs="Arial"/>
          <w:b/>
          <w:i/>
          <w:sz w:val="20"/>
          <w:szCs w:val="20"/>
        </w:rPr>
        <w:t>2</w:t>
      </w:r>
      <w:r w:rsidRPr="00D057A6">
        <w:rPr>
          <w:rFonts w:ascii="Arial" w:hAnsi="Arial" w:cs="Arial"/>
          <w:b/>
          <w:i/>
          <w:sz w:val="20"/>
          <w:szCs w:val="20"/>
        </w:rPr>
        <w:t>. godinu po osnovnoj klasifikaciji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439"/>
        <w:gridCol w:w="3651"/>
        <w:gridCol w:w="1496"/>
        <w:gridCol w:w="1384"/>
        <w:gridCol w:w="1496"/>
        <w:gridCol w:w="854"/>
      </w:tblGrid>
      <w:tr w:rsidR="00B6379C" w:rsidRPr="00B6379C" w14:paraId="52C33D68" w14:textId="77777777" w:rsidTr="00B6379C">
        <w:trPr>
          <w:trHeight w:val="540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35081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2AB3" w14:textId="77777777" w:rsidR="00B6379C" w:rsidRPr="00B6379C" w:rsidRDefault="00B6379C" w:rsidP="00B6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6D397" w14:textId="77777777" w:rsidR="00B6379C" w:rsidRPr="00B6379C" w:rsidRDefault="00B6379C" w:rsidP="00B6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3B65" w14:textId="77777777" w:rsidR="00B6379C" w:rsidRPr="00B6379C" w:rsidRDefault="00B6379C" w:rsidP="00B6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36F21" w14:textId="77777777" w:rsidR="00B6379C" w:rsidRPr="00B6379C" w:rsidRDefault="00B6379C" w:rsidP="00B6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B0BDE" w14:textId="77777777" w:rsidR="00B6379C" w:rsidRPr="00B6379C" w:rsidRDefault="00B6379C" w:rsidP="00B63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B6379C" w:rsidRPr="00B6379C" w14:paraId="5D4280D6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27179F11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503E1250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7851574F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54.279.722,18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638F6024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6.842.913,05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0E683B6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61.122.635,23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0CECE" w:fill="D0CECE"/>
            <w:vAlign w:val="center"/>
            <w:hideMark/>
          </w:tcPr>
          <w:p w14:paraId="4FBB3DE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112,61</w:t>
            </w:r>
          </w:p>
        </w:tc>
      </w:tr>
      <w:tr w:rsidR="00B6379C" w:rsidRPr="00B6379C" w14:paraId="21861A7C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5B557B3D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965C9C5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50FA790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43.675.388,84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3401380A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-299.153,50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2DCFAA3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43.376.235,34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12C16D2D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99,32</w:t>
            </w:r>
          </w:p>
        </w:tc>
      </w:tr>
      <w:tr w:rsidR="00B6379C" w:rsidRPr="00B6379C" w14:paraId="73925AA4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2D74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A46B0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C41A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14.757.060,00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DDE14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403.000,00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D8DCA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15.160.060,00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5672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102,73</w:t>
            </w:r>
          </w:p>
        </w:tc>
      </w:tr>
      <w:tr w:rsidR="00B6379C" w:rsidRPr="00B6379C" w14:paraId="7FB79A72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36DE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1D510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AEAA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14.590.057,84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4804E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B144B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13.774.057,84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408F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94,41</w:t>
            </w:r>
          </w:p>
        </w:tc>
      </w:tr>
      <w:tr w:rsidR="00B6379C" w:rsidRPr="00B6379C" w14:paraId="62D3CE0F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CF8DB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3C3B3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7713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1.280.633,00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EED8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AFD67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1.280.628,00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83C7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6379C" w:rsidRPr="00B6379C" w14:paraId="6DF6246F" w14:textId="77777777" w:rsidTr="00B6379C">
        <w:trPr>
          <w:trHeight w:val="780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4FDD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A6277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04EC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12.583.638,00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7F6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105.851,50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5A5B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12.689.489,50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2885D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100,84</w:t>
            </w:r>
          </w:p>
        </w:tc>
      </w:tr>
      <w:tr w:rsidR="00B6379C" w:rsidRPr="00B6379C" w14:paraId="2CBEACC5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0AF90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BD6E4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FCFC7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2F529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40714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0544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101,72</w:t>
            </w:r>
          </w:p>
        </w:tc>
      </w:tr>
      <w:tr w:rsidR="00B6379C" w:rsidRPr="00B6379C" w14:paraId="1AE7D9CF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29F6CE2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C4F2D57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048B62E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25D50BD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00EF5E4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A0131FE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6379C" w:rsidRPr="00B6379C" w14:paraId="0FCC5CD8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B94DE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EB1B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383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1.001.000,00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B3B71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4575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1.001.000,00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84141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6379C" w:rsidRPr="00B6379C" w14:paraId="780ADCC8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2724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612C4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A92F1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E1B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641B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380A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B6379C" w:rsidRPr="00B6379C" w14:paraId="5301B741" w14:textId="77777777" w:rsidTr="00B6379C">
        <w:trPr>
          <w:trHeight w:val="52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53C4D041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40762129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0EE2E9AE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7.533.333,34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322B6C23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46E04FD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11.033.333,34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26638568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146,46</w:t>
            </w:r>
          </w:p>
        </w:tc>
      </w:tr>
      <w:tr w:rsidR="00B6379C" w:rsidRPr="00B6379C" w14:paraId="2FEB6FFE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159A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97861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0D5B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7.533.333,34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96062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3610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11.033.333,34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EF43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146,46</w:t>
            </w:r>
          </w:p>
        </w:tc>
      </w:tr>
      <w:tr w:rsidR="00B6379C" w:rsidRPr="00B6379C" w14:paraId="5EE884B1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6343BD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4CE87568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0CECE995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77C9A19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3.642.066,55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0D48FAFF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5.592.066,55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E1F2" w:fill="D9E1F2"/>
            <w:vAlign w:val="center"/>
            <w:hideMark/>
          </w:tcPr>
          <w:p w14:paraId="43D1B3B8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286,77</w:t>
            </w:r>
          </w:p>
        </w:tc>
      </w:tr>
      <w:tr w:rsidR="00B6379C" w:rsidRPr="00B6379C" w14:paraId="4F675182" w14:textId="77777777" w:rsidTr="00B6379C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754E4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7974" w14:textId="77777777" w:rsidR="00B6379C" w:rsidRPr="00B6379C" w:rsidRDefault="00B6379C" w:rsidP="00B63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0540C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52268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3.642.066,55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C5A6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5.592.066,55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C5149" w14:textId="77777777" w:rsidR="00B6379C" w:rsidRPr="00B6379C" w:rsidRDefault="00B6379C" w:rsidP="00B63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637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286,77</w:t>
            </w:r>
          </w:p>
        </w:tc>
      </w:tr>
    </w:tbl>
    <w:p w14:paraId="607917BF" w14:textId="77A38493" w:rsidR="00B6379C" w:rsidRDefault="00B6379C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ED8A4EE" w14:textId="7917936E" w:rsidR="004C1FBE" w:rsidRPr="005F49F0" w:rsidRDefault="005F49F0" w:rsidP="00E34289">
      <w:pPr>
        <w:jc w:val="both"/>
        <w:rPr>
          <w:rFonts w:ascii="Arial" w:hAnsi="Arial" w:cs="Arial"/>
        </w:rPr>
      </w:pPr>
      <w:r w:rsidRPr="005F49F0">
        <w:rPr>
          <w:rFonts w:ascii="Arial" w:hAnsi="Arial" w:cs="Arial"/>
        </w:rPr>
        <w:t xml:space="preserve">Prihodi od poreza povećavaju se za </w:t>
      </w:r>
      <w:r w:rsidR="00E126CF">
        <w:rPr>
          <w:rFonts w:ascii="Arial" w:hAnsi="Arial" w:cs="Arial"/>
        </w:rPr>
        <w:t xml:space="preserve">403.000,00 </w:t>
      </w:r>
      <w:r w:rsidR="00B6379C">
        <w:rPr>
          <w:rFonts w:ascii="Arial" w:hAnsi="Arial" w:cs="Arial"/>
        </w:rPr>
        <w:t xml:space="preserve">kuna </w:t>
      </w:r>
      <w:r w:rsidR="00E126CF">
        <w:rPr>
          <w:rFonts w:ascii="Arial" w:hAnsi="Arial" w:cs="Arial"/>
        </w:rPr>
        <w:t>(2,73%)</w:t>
      </w:r>
      <w:r w:rsidRPr="005F49F0">
        <w:rPr>
          <w:rFonts w:ascii="Arial" w:hAnsi="Arial" w:cs="Arial"/>
        </w:rPr>
        <w:t xml:space="preserve"> na temelju očekivane veće realizacije prihoda poreza </w:t>
      </w:r>
      <w:r w:rsidR="00B6379C">
        <w:rPr>
          <w:rFonts w:ascii="Arial" w:hAnsi="Arial" w:cs="Arial"/>
        </w:rPr>
        <w:t>i prireza na dohodak i poreza na imovinu u o</w:t>
      </w:r>
      <w:r w:rsidRPr="005F49F0">
        <w:rPr>
          <w:rFonts w:ascii="Arial" w:hAnsi="Arial" w:cs="Arial"/>
        </w:rPr>
        <w:t>dnosu na osnovni proračun.</w:t>
      </w:r>
    </w:p>
    <w:p w14:paraId="183C251E" w14:textId="10AED3FD" w:rsidR="008178F3" w:rsidRDefault="00BF641C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Pomoći iz inozemstva i od subjekata unutar općeg proračuna, predloženim izmjenama se smanjuju za </w:t>
      </w:r>
      <w:r w:rsidR="00B6379C">
        <w:rPr>
          <w:rFonts w:ascii="Arial" w:hAnsi="Arial" w:cs="Arial"/>
        </w:rPr>
        <w:t>816</w:t>
      </w:r>
      <w:r>
        <w:rPr>
          <w:rFonts w:ascii="Arial" w:hAnsi="Arial" w:cs="Arial"/>
        </w:rPr>
        <w:t xml:space="preserve">.000,00 kuna (za </w:t>
      </w:r>
      <w:r w:rsidR="00B6379C">
        <w:rPr>
          <w:rFonts w:ascii="Arial" w:hAnsi="Arial" w:cs="Arial"/>
        </w:rPr>
        <w:t>5,59</w:t>
      </w:r>
      <w:r>
        <w:rPr>
          <w:rFonts w:ascii="Arial" w:hAnsi="Arial" w:cs="Arial"/>
        </w:rPr>
        <w:t xml:space="preserve">%). </w:t>
      </w:r>
      <w:r w:rsidR="00D06975" w:rsidRPr="004410AB">
        <w:rPr>
          <w:rFonts w:ascii="Arial" w:hAnsi="Arial" w:cs="Arial"/>
        </w:rPr>
        <w:t xml:space="preserve">U nastavku je prikaz planiranih pomoći iz fondova EU, državnog proračuna, županijskog proračuna te ministarstava kao i tekuće pomoći </w:t>
      </w:r>
      <w:r w:rsidR="00ED33CD" w:rsidRPr="004410AB">
        <w:rPr>
          <w:rFonts w:ascii="Arial" w:hAnsi="Arial" w:cs="Arial"/>
        </w:rPr>
        <w:t>izravnanja</w:t>
      </w:r>
      <w:r w:rsidR="00D06975" w:rsidRPr="004410AB">
        <w:rPr>
          <w:rFonts w:ascii="Arial" w:hAnsi="Arial" w:cs="Arial"/>
        </w:rPr>
        <w:t xml:space="preserve"> za dece</w:t>
      </w:r>
      <w:r w:rsidR="00ED33CD" w:rsidRPr="004410AB">
        <w:rPr>
          <w:rFonts w:ascii="Arial" w:hAnsi="Arial" w:cs="Arial"/>
        </w:rPr>
        <w:t>n</w:t>
      </w:r>
      <w:r w:rsidR="00D06975" w:rsidRPr="004410AB">
        <w:rPr>
          <w:rFonts w:ascii="Arial" w:hAnsi="Arial" w:cs="Arial"/>
        </w:rPr>
        <w:t>tralizirane funkcije vatrogastva: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617"/>
        <w:gridCol w:w="4260"/>
        <w:gridCol w:w="1380"/>
        <w:gridCol w:w="1380"/>
        <w:gridCol w:w="1368"/>
      </w:tblGrid>
      <w:tr w:rsidR="00F36279" w:rsidRPr="00F36279" w14:paraId="3E9D685E" w14:textId="77777777" w:rsidTr="00F36279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6B87A617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4DFBB791" w14:textId="77777777" w:rsidR="00F36279" w:rsidRPr="00F36279" w:rsidRDefault="00F36279" w:rsidP="00F36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4CBE0F37" w14:textId="77777777" w:rsidR="00F36279" w:rsidRPr="00F36279" w:rsidRDefault="00F36279" w:rsidP="00F36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325A8D25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PROMJENA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14:paraId="56E587F3" w14:textId="77777777" w:rsidR="00F36279" w:rsidRPr="00F36279" w:rsidRDefault="00F36279" w:rsidP="00F36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</w:tr>
      <w:tr w:rsidR="00F36279" w:rsidRPr="00F36279" w14:paraId="10A5801F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B7F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3694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CB84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14.590.057,84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7B9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-816.000,00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2F1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13.774.057,84</w:t>
            </w:r>
          </w:p>
        </w:tc>
      </w:tr>
      <w:tr w:rsidR="00F36279" w:rsidRPr="00F36279" w14:paraId="0EC147B8" w14:textId="77777777" w:rsidTr="00F3627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E02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2F87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 iz županijskog proračuna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3573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235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9587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203.000,00</w:t>
            </w:r>
          </w:p>
        </w:tc>
      </w:tr>
      <w:tr w:rsidR="00F36279" w:rsidRPr="00F36279" w14:paraId="1C2D9014" w14:textId="77777777" w:rsidTr="00F36279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11F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274C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Tekuća pomoć Ministarstva znanosti , obrazovanja i športa - sufinanciranje programa Dječjeg vrtića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6946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7406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B02F7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  <w:tr w:rsidR="00F36279" w:rsidRPr="00F36279" w14:paraId="7A2F45ED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1AA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FB70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proračunu iz drugih proračuna-kompenzacijske mjere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ED2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A9FE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5C9A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780.000,00</w:t>
            </w:r>
          </w:p>
        </w:tc>
      </w:tr>
      <w:tr w:rsidR="00F36279" w:rsidRPr="00F36279" w14:paraId="2FB071CA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87F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D3BC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Tekuća pomoć Županijski proračun -Dom za starije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DEAB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0AFA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164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86.000,00</w:t>
            </w:r>
          </w:p>
        </w:tc>
      </w:tr>
      <w:tr w:rsidR="00F36279" w:rsidRPr="00F36279" w14:paraId="082E970E" w14:textId="77777777" w:rsidTr="00F3627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126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A4FF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Tekuća pomoć od FZOEU za GIS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A65A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8AC3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19E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75.000,00</w:t>
            </w:r>
          </w:p>
        </w:tc>
      </w:tr>
      <w:tr w:rsidR="00F36279" w:rsidRPr="00F36279" w14:paraId="6CD31C13" w14:textId="77777777" w:rsidTr="00F36279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B48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5A9D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Tekuće pomoći proračunu iz drugih proračuna- Općina </w:t>
            </w:r>
            <w:proofErr w:type="spellStart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Lanišće</w:t>
            </w:r>
            <w:proofErr w:type="spellEnd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za financiranje iznad minimalnog standarda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FC1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145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50023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F36279" w:rsidRPr="00F36279" w14:paraId="4B2CA6D6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EB2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1B4D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proračunu iz drugih proračuna (donacije PVZ)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3FD9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50C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DB09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F36279" w:rsidRPr="00F36279" w14:paraId="07F384C3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2CE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10A7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proračunu iz drugih proračuna korisnik POU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4DC57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D13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16FB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36279" w:rsidRPr="00F36279" w14:paraId="1538392D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DDC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997F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proračunu iz drugih proračuna korisnik POU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6931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3E4A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6D47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F36279" w:rsidRPr="00F36279" w14:paraId="4F38E545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3AE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9BAB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Tekuća pomoć županijskog proračuna, Domu za starije osobe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6AA3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CC1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5CDA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14.950,00</w:t>
            </w:r>
          </w:p>
        </w:tc>
      </w:tr>
      <w:tr w:rsidR="00F36279" w:rsidRPr="00F36279" w14:paraId="047653A4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6C3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811A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županijskih proračuna (sufinanciranje programa zavičajnost IŽ)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6C8F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A131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8DF9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F36279" w:rsidRPr="00F36279" w14:paraId="769B9A62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674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2C66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Kapitalna pomoć za projekt uređenja dječjeg igrališta u Sjevernoj ulici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11B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119.040,00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1FA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12E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119.040,00</w:t>
            </w:r>
          </w:p>
        </w:tc>
      </w:tr>
      <w:tr w:rsidR="00F36279" w:rsidRPr="00F36279" w14:paraId="737879F8" w14:textId="77777777" w:rsidTr="00F36279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99B6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BBB8C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Kapitalna potpora APPRRR za rekonstrukciju i dogradnju Dječjeg vrtića ''Grdelin'' Buzet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6E14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E8C4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7DF9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F36279" w:rsidRPr="00F36279" w14:paraId="02A9C6AB" w14:textId="77777777" w:rsidTr="00F36279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07FE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8080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- Ministarstvo regionalnog razvoja i fondova EU, za dogradnju dječjeg vrtića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979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EA8E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-1.150.000,00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35E2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</w:tr>
      <w:tr w:rsidR="00F36279" w:rsidRPr="00F36279" w14:paraId="4305AE64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3E0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26277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za izravnanja za decentralizirane funkcije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3F42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2.463.042,00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F7A2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065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2.463.042,00</w:t>
            </w:r>
          </w:p>
        </w:tc>
      </w:tr>
      <w:tr w:rsidR="00F36279" w:rsidRPr="00F36279" w14:paraId="7BC23355" w14:textId="77777777" w:rsidTr="00F36279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160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B236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- Projekt Unapređenje i poboljšanje izvaninstitucionalne skrbi za osobe treće životne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9204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170.212,40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7979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164.000,00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DE83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334.212,40</w:t>
            </w:r>
          </w:p>
        </w:tc>
      </w:tr>
      <w:tr w:rsidR="00F36279" w:rsidRPr="00F36279" w14:paraId="02E46E17" w14:textId="77777777" w:rsidTr="00F36279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84BDF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9DED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iz državnog proračuna temeljem prijenosa EU sredstava, projekt dogradnje Doma za starije Buzet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66D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7.395.653,44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F6FE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256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7.395.653,44</w:t>
            </w:r>
          </w:p>
        </w:tc>
      </w:tr>
      <w:tr w:rsidR="00F36279" w:rsidRPr="00F36279" w14:paraId="2EBD79A3" w14:textId="77777777" w:rsidTr="00F36279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114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3E4A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Kapitalne potpora za projekt </w:t>
            </w:r>
            <w:proofErr w:type="spellStart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Eduktivna</w:t>
            </w:r>
            <w:proofErr w:type="spellEnd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staza ''Šume-zeleno blago </w:t>
            </w:r>
            <w:proofErr w:type="spellStart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buzeštine</w:t>
            </w:r>
            <w:proofErr w:type="spellEnd"/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''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6C8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369.160,00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7A77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1800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369.160,00</w:t>
            </w:r>
          </w:p>
        </w:tc>
      </w:tr>
      <w:tr w:rsidR="00F36279" w:rsidRPr="00F36279" w14:paraId="1059845B" w14:textId="77777777" w:rsidTr="00F36279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408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2EFF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Kapitalna pomoć za izradu projektne dokumentacije za prijavu projekta sanacija odlagališta ''Griža''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DB4D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240B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17245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225000</w:t>
            </w:r>
          </w:p>
        </w:tc>
      </w:tr>
      <w:tr w:rsidR="00F36279" w:rsidRPr="00F36279" w14:paraId="0243E873" w14:textId="77777777" w:rsidTr="00F36279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5D44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6361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1DB1C" w14:textId="77777777" w:rsidR="00F36279" w:rsidRPr="00F36279" w:rsidRDefault="00F36279" w:rsidP="00F3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FA01C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0AF8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99CB" w14:textId="77777777" w:rsidR="00F36279" w:rsidRPr="00F36279" w:rsidRDefault="00F36279" w:rsidP="00F362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3627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</w:tbl>
    <w:p w14:paraId="1E0756BF" w14:textId="1A979BF4" w:rsidR="00F36279" w:rsidRDefault="00F36279" w:rsidP="00E34289">
      <w:pPr>
        <w:jc w:val="both"/>
        <w:rPr>
          <w:rFonts w:ascii="Arial" w:hAnsi="Arial" w:cs="Arial"/>
        </w:rPr>
      </w:pPr>
    </w:p>
    <w:p w14:paraId="7B81DE72" w14:textId="204F5EDD" w:rsidR="00DC7CCC" w:rsidRDefault="00DC7CCC" w:rsidP="00E34289">
      <w:pPr>
        <w:jc w:val="both"/>
        <w:rPr>
          <w:rFonts w:ascii="Arial" w:hAnsi="Arial" w:cs="Arial"/>
          <w:bCs/>
          <w:iCs/>
        </w:rPr>
      </w:pPr>
      <w:r w:rsidRPr="00E4212F">
        <w:rPr>
          <w:rFonts w:ascii="Arial" w:hAnsi="Arial" w:cs="Arial"/>
          <w:bCs/>
          <w:iCs/>
        </w:rPr>
        <w:t>Najveće promjene u prikazanoj tablici odnose se na smanjenje kapitalne pomoći</w:t>
      </w:r>
      <w:r w:rsidR="00F36279">
        <w:rPr>
          <w:rFonts w:ascii="Arial" w:hAnsi="Arial" w:cs="Arial"/>
          <w:bCs/>
          <w:iCs/>
        </w:rPr>
        <w:t xml:space="preserve"> (-1.150.000,00 kuna) </w:t>
      </w:r>
      <w:r w:rsidRPr="00E4212F">
        <w:rPr>
          <w:rFonts w:ascii="Arial" w:hAnsi="Arial" w:cs="Arial"/>
          <w:bCs/>
          <w:iCs/>
        </w:rPr>
        <w:t xml:space="preserve"> Ministarstva regionalnog razvoja i fondova EU, za dogradnju dječjeg vrtića, za iznos koji je uplaćen u drugoj polovici prosinca, 2021. </w:t>
      </w:r>
    </w:p>
    <w:p w14:paraId="1FF6F6DD" w14:textId="3E31B582" w:rsidR="00252956" w:rsidRDefault="00252956" w:rsidP="00E34289">
      <w:pPr>
        <w:jc w:val="both"/>
        <w:rPr>
          <w:rFonts w:ascii="Arial" w:hAnsi="Arial" w:cs="Arial"/>
          <w:bCs/>
          <w:iCs/>
        </w:rPr>
      </w:pPr>
      <w:r w:rsidRPr="00B6379C">
        <w:rPr>
          <w:rFonts w:ascii="Arial" w:hAnsi="Arial" w:cs="Arial"/>
          <w:bCs/>
          <w:iCs/>
        </w:rPr>
        <w:t>Prihodi od upravnih i administrativnih pristojbi, pristojbi po posebnim propisima i naknada</w:t>
      </w:r>
      <w:r>
        <w:rPr>
          <w:rFonts w:ascii="Arial" w:hAnsi="Arial" w:cs="Arial"/>
          <w:bCs/>
          <w:iCs/>
        </w:rPr>
        <w:t>, povećavaju se za 105.851,50 kuna</w:t>
      </w:r>
      <w:r w:rsidR="006407C9">
        <w:rPr>
          <w:rFonts w:ascii="Arial" w:hAnsi="Arial" w:cs="Arial"/>
          <w:bCs/>
          <w:iCs/>
        </w:rPr>
        <w:t>, a odnose se na realizaciju usluga vođenja zaduženja i naplate naknade za uređenje voda.</w:t>
      </w:r>
    </w:p>
    <w:p w14:paraId="140D10C0" w14:textId="6C7B4FDE" w:rsidR="006407C9" w:rsidRPr="00E4212F" w:rsidRDefault="006407C9" w:rsidP="00E34289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Grad Buzet se u 2022. godini planira zadužiti za 3.500.000,00 kuna kod HBOR-a za financiranje rekonstrukcije (modernizacije) sustava javne rasvjete. Koristi od zaduživanja za energetsku obnovu javne rasvjete, detaljno su objašnjene u nastavku ovog obrazloženja unutar programa gradnje objekata i uređaja.</w:t>
      </w:r>
    </w:p>
    <w:p w14:paraId="5D31A8BA" w14:textId="48A42932" w:rsidR="008178F3" w:rsidRPr="000021D2" w:rsidRDefault="008C5AA3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</w:rPr>
        <w:t>Nakon izrade godišnjih obračuna za prethodnu godinu, proračunski korisnici dostavili su izmjene svojih financijskih planova u kojima predlažu raspored viška prihoda iz prethodne godine</w:t>
      </w:r>
      <w:r w:rsidR="00715C01">
        <w:rPr>
          <w:rFonts w:ascii="Arial" w:hAnsi="Arial" w:cs="Arial"/>
        </w:rPr>
        <w:t>.</w:t>
      </w:r>
      <w:r w:rsidRPr="000021D2">
        <w:rPr>
          <w:rFonts w:ascii="Arial" w:hAnsi="Arial" w:cs="Arial"/>
        </w:rPr>
        <w:t xml:space="preserve"> U nastavku je </w:t>
      </w:r>
      <w:r w:rsidR="00EF1642" w:rsidRPr="000021D2">
        <w:rPr>
          <w:rFonts w:ascii="Arial" w:hAnsi="Arial" w:cs="Arial"/>
        </w:rPr>
        <w:t>prikazano</w:t>
      </w:r>
      <w:r w:rsidRPr="000021D2">
        <w:rPr>
          <w:rFonts w:ascii="Arial" w:hAnsi="Arial" w:cs="Arial"/>
        </w:rPr>
        <w:t xml:space="preserve"> povećanj</w:t>
      </w:r>
      <w:r w:rsidR="00BA794E" w:rsidRPr="000021D2">
        <w:rPr>
          <w:rFonts w:ascii="Arial" w:hAnsi="Arial" w:cs="Arial"/>
        </w:rPr>
        <w:t>e prihoda po proračunskim korisn</w:t>
      </w:r>
      <w:r w:rsidRPr="000021D2">
        <w:rPr>
          <w:rFonts w:ascii="Arial" w:hAnsi="Arial" w:cs="Arial"/>
        </w:rPr>
        <w:t>icima, a raspodjela sredstava na rashodovnoj strani prikazana je kroz programe za pojedinu djelatnost.</w:t>
      </w:r>
    </w:p>
    <w:p w14:paraId="5522DD0F" w14:textId="050F1970" w:rsidR="00647972" w:rsidRDefault="0062793E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021D2">
        <w:rPr>
          <w:rFonts w:ascii="Arial" w:hAnsi="Arial" w:cs="Arial"/>
          <w:b/>
          <w:i/>
          <w:sz w:val="20"/>
          <w:szCs w:val="20"/>
        </w:rPr>
        <w:t>Povećanje prihoda kod proračunskih korisnika iz viška prihoda prethodne godine i vlastitih sredstava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2760"/>
        <w:gridCol w:w="1540"/>
        <w:gridCol w:w="1400"/>
        <w:gridCol w:w="1496"/>
      </w:tblGrid>
      <w:tr w:rsidR="00547003" w:rsidRPr="00547003" w14:paraId="07E70E35" w14:textId="77777777" w:rsidTr="00547003">
        <w:trPr>
          <w:trHeight w:val="31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3012591A" w14:textId="77777777" w:rsidR="00547003" w:rsidRPr="00547003" w:rsidRDefault="00547003" w:rsidP="00547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700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PRORAČUNSKI KORISNIK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AF0F8A3" w14:textId="77777777" w:rsidR="00547003" w:rsidRPr="00547003" w:rsidRDefault="00547003" w:rsidP="00547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700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PLANIRANO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97F55EA" w14:textId="77777777" w:rsidR="00547003" w:rsidRPr="00547003" w:rsidRDefault="00547003" w:rsidP="00547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700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PROMJENA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50FBD89" w14:textId="77777777" w:rsidR="00547003" w:rsidRPr="00547003" w:rsidRDefault="00547003" w:rsidP="005470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4700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IZNOS</w:t>
            </w:r>
          </w:p>
        </w:tc>
      </w:tr>
      <w:tr w:rsidR="00547003" w:rsidRPr="00547003" w14:paraId="3F3FE2F0" w14:textId="77777777" w:rsidTr="00547003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CE23" w14:textId="77777777" w:rsidR="00547003" w:rsidRPr="00547003" w:rsidRDefault="00547003" w:rsidP="005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E81C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314.258,00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5A62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51.470,99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1DC6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365.728,99</w:t>
            </w:r>
          </w:p>
        </w:tc>
      </w:tr>
      <w:tr w:rsidR="00547003" w:rsidRPr="00547003" w14:paraId="13B96945" w14:textId="77777777" w:rsidTr="00547003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D8E6" w14:textId="77777777" w:rsidR="00547003" w:rsidRPr="00547003" w:rsidRDefault="00547003" w:rsidP="005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Dječji vrtić ''Grdelin'' Buzet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9C83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1.644.100,00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26D3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34.221,16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79AC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1.678.321,16</w:t>
            </w:r>
          </w:p>
        </w:tc>
      </w:tr>
      <w:tr w:rsidR="00547003" w:rsidRPr="00547003" w14:paraId="305C79DC" w14:textId="77777777" w:rsidTr="00547003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82EDE" w14:textId="77777777" w:rsidR="00547003" w:rsidRPr="00547003" w:rsidRDefault="00547003" w:rsidP="005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Pučko otvoreno učilište Augustin Vivoda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DA56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359.005,00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C6FF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69.053,39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CEF7D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428.058,39</w:t>
            </w:r>
          </w:p>
        </w:tc>
      </w:tr>
      <w:tr w:rsidR="00547003" w:rsidRPr="00547003" w14:paraId="10D6E36C" w14:textId="77777777" w:rsidTr="00547003">
        <w:trPr>
          <w:trHeight w:val="5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B287" w14:textId="77777777" w:rsidR="00547003" w:rsidRPr="00547003" w:rsidRDefault="00547003" w:rsidP="00547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za starije  osobe Buzet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DB6E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17.864.579,78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E47F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9.442,61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DEAA" w14:textId="77777777" w:rsidR="00547003" w:rsidRPr="00547003" w:rsidRDefault="00547003" w:rsidP="005470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70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17.874.022,39</w:t>
            </w:r>
          </w:p>
        </w:tc>
      </w:tr>
    </w:tbl>
    <w:p w14:paraId="2F4F7F2F" w14:textId="17CEE8F8" w:rsidR="00547003" w:rsidRDefault="00547003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77CC4317" w14:textId="7236B0C1" w:rsidR="00547003" w:rsidRDefault="00547003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727CF6E" w14:textId="77777777" w:rsidR="00547003" w:rsidRPr="000021D2" w:rsidRDefault="00547003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4309859" w14:textId="25449947" w:rsidR="007B66CD" w:rsidRPr="000021D2" w:rsidRDefault="00601DDB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  <w:b/>
        </w:rPr>
        <w:t>Mjesni odbori</w:t>
      </w:r>
      <w:r w:rsidRPr="000021D2">
        <w:rPr>
          <w:rFonts w:ascii="Arial" w:hAnsi="Arial" w:cs="Arial"/>
        </w:rPr>
        <w:t xml:space="preserve"> ostvarili su po godišnjim izvještajima za prethodnu g</w:t>
      </w:r>
      <w:r w:rsidR="0054402C" w:rsidRPr="000021D2">
        <w:rPr>
          <w:rFonts w:ascii="Arial" w:hAnsi="Arial" w:cs="Arial"/>
        </w:rPr>
        <w:t xml:space="preserve">odinu ukupni višak od </w:t>
      </w:r>
      <w:r w:rsidR="00E9359C">
        <w:rPr>
          <w:rFonts w:ascii="Arial" w:hAnsi="Arial" w:cs="Arial"/>
        </w:rPr>
        <w:t>206.248,29</w:t>
      </w:r>
      <w:r w:rsidR="0054402C" w:rsidRPr="000021D2">
        <w:rPr>
          <w:rFonts w:ascii="Arial" w:hAnsi="Arial" w:cs="Arial"/>
        </w:rPr>
        <w:t xml:space="preserve"> </w:t>
      </w:r>
      <w:r w:rsidRPr="000021D2">
        <w:rPr>
          <w:rFonts w:ascii="Arial" w:hAnsi="Arial" w:cs="Arial"/>
        </w:rPr>
        <w:t xml:space="preserve"> kuna, </w:t>
      </w:r>
      <w:r w:rsidR="00E9359C">
        <w:rPr>
          <w:rFonts w:ascii="Arial" w:hAnsi="Arial" w:cs="Arial"/>
        </w:rPr>
        <w:t xml:space="preserve">koji je prenesen u ovu godinu, </w:t>
      </w:r>
      <w:r w:rsidRPr="000021D2">
        <w:rPr>
          <w:rFonts w:ascii="Arial" w:hAnsi="Arial" w:cs="Arial"/>
        </w:rPr>
        <w:t xml:space="preserve">a detaljniji prikaz po Mjesnom odboru </w:t>
      </w:r>
      <w:r w:rsidR="00E9359C">
        <w:rPr>
          <w:rFonts w:ascii="Arial" w:hAnsi="Arial" w:cs="Arial"/>
        </w:rPr>
        <w:t>prikazan je u nastavku</w:t>
      </w:r>
      <w:r w:rsidRPr="000021D2">
        <w:rPr>
          <w:rFonts w:ascii="Arial" w:hAnsi="Arial" w:cs="Arial"/>
        </w:rPr>
        <w:t>: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3380"/>
        <w:gridCol w:w="1340"/>
        <w:gridCol w:w="1820"/>
        <w:gridCol w:w="1580"/>
      </w:tblGrid>
      <w:tr w:rsidR="00E9359C" w:rsidRPr="00E9359C" w14:paraId="30C878F6" w14:textId="77777777" w:rsidTr="00E9359C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E00016D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MJESNI ODBOR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21438638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PLANIRANO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680E118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PROMJENA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9482BE4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IZNOS</w:t>
            </w:r>
          </w:p>
        </w:tc>
      </w:tr>
      <w:tr w:rsidR="00E9359C" w:rsidRPr="00E9359C" w14:paraId="54D615A4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283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Buzet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775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25E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28.742,36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31FA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28.742,36</w:t>
            </w:r>
          </w:p>
        </w:tc>
      </w:tr>
      <w:tr w:rsidR="00E9359C" w:rsidRPr="00E9359C" w14:paraId="747D8F78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BE8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Buzet Stari grad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943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234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23.387,08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8031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23.387,08</w:t>
            </w:r>
          </w:p>
        </w:tc>
      </w:tr>
      <w:tr w:rsidR="00E9359C" w:rsidRPr="00E9359C" w14:paraId="76174CE6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D3A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Višak prihoda MO </w:t>
            </w:r>
            <w:proofErr w:type="spellStart"/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Roč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7CA5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B716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31.404,23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8851C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31.404,23</w:t>
            </w:r>
          </w:p>
        </w:tc>
      </w:tr>
      <w:tr w:rsidR="00E9359C" w:rsidRPr="00E9359C" w14:paraId="7805CE23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990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Višak prihoda MO </w:t>
            </w:r>
            <w:proofErr w:type="spellStart"/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Krušvari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DCD0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902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1.361,34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7DC93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1.361,34</w:t>
            </w:r>
          </w:p>
        </w:tc>
      </w:tr>
      <w:tr w:rsidR="00E9359C" w:rsidRPr="00E9359C" w14:paraId="66FC42C2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3A6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Višak prihoda MO </w:t>
            </w:r>
            <w:proofErr w:type="spellStart"/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Sovinjak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6F64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2FFC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1.181,66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BBC86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1.181,66</w:t>
            </w:r>
          </w:p>
        </w:tc>
      </w:tr>
      <w:tr w:rsidR="00E9359C" w:rsidRPr="00E9359C" w14:paraId="0574F7BD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3C2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Sveti Ivan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047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E94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14.632,91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B02BE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14.632,91</w:t>
            </w:r>
          </w:p>
        </w:tc>
      </w:tr>
      <w:tr w:rsidR="00E9359C" w:rsidRPr="00E9359C" w14:paraId="6904BFBF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B06D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Sveti Martin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A39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AD0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51.304,45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65C04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51.304,45</w:t>
            </w:r>
          </w:p>
        </w:tc>
      </w:tr>
      <w:tr w:rsidR="00E9359C" w:rsidRPr="00E9359C" w14:paraId="6AA7B9D3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E85C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Svi Sveti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19CB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4AB3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9.706,60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39996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9.706,60</w:t>
            </w:r>
          </w:p>
        </w:tc>
      </w:tr>
      <w:tr w:rsidR="00E9359C" w:rsidRPr="00E9359C" w14:paraId="49ADB203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58B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Višak prihoda MO </w:t>
            </w:r>
            <w:proofErr w:type="spellStart"/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Štrped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42EF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1B5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4.045,80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A027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4.045,80</w:t>
            </w:r>
          </w:p>
        </w:tc>
      </w:tr>
      <w:tr w:rsidR="00E9359C" w:rsidRPr="00E9359C" w14:paraId="364B3FCF" w14:textId="77777777" w:rsidTr="00E9359C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FF9F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Višak prihoda MO Veli i Mali </w:t>
            </w:r>
            <w:proofErr w:type="spellStart"/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Mlun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B21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F0F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22.563,14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55C6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22.563,14</w:t>
            </w:r>
          </w:p>
        </w:tc>
      </w:tr>
      <w:tr w:rsidR="00E9359C" w:rsidRPr="00E9359C" w14:paraId="3E1747ED" w14:textId="77777777" w:rsidTr="00E9359C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87C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Višak prihoda MO Vrh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768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C16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17.918,72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9E087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color w:val="000000"/>
                <w:lang w:eastAsia="hr-HR"/>
              </w:rPr>
              <w:t>17.918,72</w:t>
            </w:r>
          </w:p>
        </w:tc>
      </w:tr>
      <w:tr w:rsidR="00E9359C" w:rsidRPr="00E9359C" w14:paraId="36D8525E" w14:textId="77777777" w:rsidTr="00E9359C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215F" w14:textId="77777777" w:rsidR="00E9359C" w:rsidRPr="00E9359C" w:rsidRDefault="00E9359C" w:rsidP="00E935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FFDED" w14:textId="77777777" w:rsidR="00E9359C" w:rsidRPr="00E9359C" w:rsidRDefault="00E9359C" w:rsidP="00E935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D1A5B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206.248,29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8E3CE" w14:textId="77777777" w:rsidR="00E9359C" w:rsidRPr="00E9359C" w:rsidRDefault="00E9359C" w:rsidP="00E93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935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206.248,29</w:t>
            </w:r>
          </w:p>
        </w:tc>
      </w:tr>
    </w:tbl>
    <w:p w14:paraId="7E978A88" w14:textId="16AA83D6" w:rsidR="00E9359C" w:rsidRDefault="00E9359C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690691C" w14:textId="77777777" w:rsidR="00E9359C" w:rsidRPr="000021D2" w:rsidRDefault="00E9359C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102A2D7E" w14:textId="77777777" w:rsidR="00F76E5B" w:rsidRPr="00745389" w:rsidRDefault="00F76E5B" w:rsidP="00E34289">
      <w:pPr>
        <w:jc w:val="both"/>
        <w:rPr>
          <w:rFonts w:ascii="Arial" w:hAnsi="Arial" w:cs="Arial"/>
          <w:b/>
          <w:sz w:val="24"/>
          <w:szCs w:val="24"/>
        </w:rPr>
      </w:pPr>
      <w:r w:rsidRPr="00745389">
        <w:rPr>
          <w:rFonts w:ascii="Arial" w:hAnsi="Arial" w:cs="Arial"/>
          <w:b/>
          <w:sz w:val="24"/>
          <w:szCs w:val="24"/>
        </w:rPr>
        <w:t>RASHODI I IZDACI PRORAČUNA</w:t>
      </w:r>
    </w:p>
    <w:p w14:paraId="3D1FF2AC" w14:textId="6AE5249B" w:rsidR="00A75403" w:rsidRDefault="00A75403" w:rsidP="00E34289">
      <w:pPr>
        <w:jc w:val="both"/>
        <w:rPr>
          <w:rFonts w:ascii="Arial" w:hAnsi="Arial" w:cs="Arial"/>
        </w:rPr>
      </w:pPr>
      <w:r w:rsidRPr="00745389">
        <w:rPr>
          <w:rFonts w:ascii="Arial" w:hAnsi="Arial" w:cs="Arial"/>
        </w:rPr>
        <w:t>U nast</w:t>
      </w:r>
      <w:r w:rsidR="00F76E5B" w:rsidRPr="00745389">
        <w:rPr>
          <w:rFonts w:ascii="Arial" w:hAnsi="Arial" w:cs="Arial"/>
        </w:rPr>
        <w:t>a</w:t>
      </w:r>
      <w:r w:rsidRPr="00745389">
        <w:rPr>
          <w:rFonts w:ascii="Arial" w:hAnsi="Arial" w:cs="Arial"/>
        </w:rPr>
        <w:t>vku</w:t>
      </w:r>
      <w:r w:rsidR="00356AAE">
        <w:rPr>
          <w:rFonts w:ascii="Arial" w:hAnsi="Arial" w:cs="Arial"/>
        </w:rPr>
        <w:t xml:space="preserve"> se  daje </w:t>
      </w:r>
      <w:r w:rsidRPr="00745389">
        <w:rPr>
          <w:rFonts w:ascii="Arial" w:hAnsi="Arial" w:cs="Arial"/>
        </w:rPr>
        <w:t xml:space="preserve"> prikaz promjena na </w:t>
      </w:r>
      <w:r w:rsidR="00954EB2" w:rsidRPr="00745389">
        <w:rPr>
          <w:rFonts w:ascii="Arial" w:hAnsi="Arial" w:cs="Arial"/>
        </w:rPr>
        <w:t>osnovnim skupinama</w:t>
      </w:r>
      <w:r w:rsidR="00F76E5B" w:rsidRPr="00745389">
        <w:rPr>
          <w:rFonts w:ascii="Arial" w:hAnsi="Arial" w:cs="Arial"/>
        </w:rPr>
        <w:t xml:space="preserve"> rashoda i izdataka u odnosu na početni proračun: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856"/>
        <w:gridCol w:w="3416"/>
        <w:gridCol w:w="1573"/>
        <w:gridCol w:w="1420"/>
        <w:gridCol w:w="1414"/>
        <w:gridCol w:w="821"/>
      </w:tblGrid>
      <w:tr w:rsidR="00B30755" w:rsidRPr="00B30755" w14:paraId="426918FC" w14:textId="77777777" w:rsidTr="00B30755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4120D9B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3A0EFB1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01820DB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68B15D4E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77555AF7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IZNOS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vAlign w:val="center"/>
            <w:hideMark/>
          </w:tcPr>
          <w:p w14:paraId="208FA992" w14:textId="77777777" w:rsidR="00B30755" w:rsidRPr="00B30755" w:rsidRDefault="00B30755" w:rsidP="00B30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B30755" w:rsidRPr="00B30755" w14:paraId="3D4414F0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584F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A398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RASHODI / IZDACI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D057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54.279.722,18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767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6.842.913,05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A8E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61.122.635,23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E70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112,61</w:t>
            </w:r>
          </w:p>
        </w:tc>
      </w:tr>
      <w:tr w:rsidR="00B30755" w:rsidRPr="00B30755" w14:paraId="22747195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1386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01CE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F4B6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35.400.339,09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986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2.376.721,76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4AD0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37.777.060,85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F6C3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106,71</w:t>
            </w:r>
          </w:p>
        </w:tc>
      </w:tr>
      <w:tr w:rsidR="00B30755" w:rsidRPr="00B30755" w14:paraId="55FF38D5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135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0722D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216F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15.358.323,31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672F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290.977,08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30F7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15.649.300,39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6B18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101,89</w:t>
            </w:r>
          </w:p>
        </w:tc>
      </w:tr>
      <w:tr w:rsidR="00B30755" w:rsidRPr="00B30755" w14:paraId="1E581684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174D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A93B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287B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12.736.364,36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CDA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1.404.955,09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3B4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14.141.319,45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17C3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111,03</w:t>
            </w:r>
          </w:p>
        </w:tc>
      </w:tr>
      <w:tr w:rsidR="00B30755" w:rsidRPr="00B30755" w14:paraId="7978CD90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7E13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7A9E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BF77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382.617,28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F75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DC6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382.617,28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5C0B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30755" w:rsidRPr="00B30755" w14:paraId="6EB230D6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F6AA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9A39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349A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E51D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7C5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0607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30755" w:rsidRPr="00B30755" w14:paraId="764117C4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7FFF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3605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5C98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1.308.249,78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19F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10.005,10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33E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1.318.254,88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05D8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100,76</w:t>
            </w:r>
          </w:p>
        </w:tc>
      </w:tr>
      <w:tr w:rsidR="00B30755" w:rsidRPr="00B30755" w14:paraId="4CDCF2F4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B46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B03E0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7926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1.028.000,00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794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584A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1.038.500,00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D62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101,02</w:t>
            </w:r>
          </w:p>
        </w:tc>
      </w:tr>
      <w:tr w:rsidR="00B30755" w:rsidRPr="00B30755" w14:paraId="737B7AC7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463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9CED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1193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4.226.784,36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1737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660.284,49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EC0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4.887.068,85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D6B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115,62</w:t>
            </w:r>
          </w:p>
        </w:tc>
      </w:tr>
      <w:tr w:rsidR="00B30755" w:rsidRPr="00B30755" w14:paraId="5AD8725B" w14:textId="77777777" w:rsidTr="00B3075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22FF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7079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91A5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18.356.883,09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4FEB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4.466.191,29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B04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22.823.074,38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D7FB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124,33</w:t>
            </w:r>
          </w:p>
        </w:tc>
      </w:tr>
      <w:tr w:rsidR="00B30755" w:rsidRPr="00B30755" w14:paraId="60562C00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01B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E8EE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BA5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3.051.750,00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96A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389.855,00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889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3.441.605,00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33070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112,77</w:t>
            </w:r>
          </w:p>
        </w:tc>
      </w:tr>
      <w:tr w:rsidR="00B30755" w:rsidRPr="00B30755" w14:paraId="52524F19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EAB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66B1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952D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15.270.133,09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C95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4.076.336,29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1C40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19.346.469,38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D9BE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126,69</w:t>
            </w:r>
          </w:p>
        </w:tc>
      </w:tr>
      <w:tr w:rsidR="00B30755" w:rsidRPr="00B30755" w14:paraId="34D36EE8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40AF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41CE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5992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18C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0D2C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1A45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30755" w:rsidRPr="00B30755" w14:paraId="70B59615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89B6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C3EA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B5B5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522.500,00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C874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F2F8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522.500,00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3CBFE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30755" w:rsidRPr="00B30755" w14:paraId="3CE0EE89" w14:textId="77777777" w:rsidTr="00B30755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8710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25C9" w14:textId="77777777" w:rsidR="00B30755" w:rsidRPr="00B30755" w:rsidRDefault="00B30755" w:rsidP="00B30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79F9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522.500,00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FE40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D151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522.500,00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AD1D6" w14:textId="77777777" w:rsidR="00B30755" w:rsidRPr="00B30755" w:rsidRDefault="00B30755" w:rsidP="00B307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B3075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</w:tbl>
    <w:p w14:paraId="73BA4FC8" w14:textId="4D93A710" w:rsidR="00B30755" w:rsidRDefault="00B30755" w:rsidP="00E34289">
      <w:pPr>
        <w:jc w:val="both"/>
        <w:rPr>
          <w:rFonts w:ascii="Arial" w:hAnsi="Arial" w:cs="Arial"/>
        </w:rPr>
      </w:pPr>
    </w:p>
    <w:p w14:paraId="347CF0F2" w14:textId="38344F7A" w:rsidR="00B30755" w:rsidRDefault="00B30755" w:rsidP="00E34289">
      <w:pPr>
        <w:jc w:val="both"/>
        <w:rPr>
          <w:rFonts w:ascii="Arial" w:hAnsi="Arial" w:cs="Arial"/>
        </w:rPr>
      </w:pPr>
    </w:p>
    <w:p w14:paraId="26C8DA56" w14:textId="77777777" w:rsidR="00B30755" w:rsidRPr="00745389" w:rsidRDefault="00B30755" w:rsidP="00E34289">
      <w:pPr>
        <w:jc w:val="both"/>
        <w:rPr>
          <w:rFonts w:ascii="Arial" w:hAnsi="Arial" w:cs="Arial"/>
        </w:rPr>
      </w:pPr>
    </w:p>
    <w:p w14:paraId="20F33368" w14:textId="2477D59E" w:rsidR="0093145D" w:rsidRPr="008C598D" w:rsidRDefault="004150F7" w:rsidP="00E34289">
      <w:pPr>
        <w:jc w:val="both"/>
        <w:rPr>
          <w:rFonts w:ascii="Arial" w:hAnsi="Arial" w:cs="Arial"/>
          <w:highlight w:val="yellow"/>
        </w:rPr>
      </w:pPr>
      <w:r w:rsidRPr="00714C00">
        <w:rPr>
          <w:rFonts w:ascii="Arial" w:hAnsi="Arial" w:cs="Arial"/>
        </w:rPr>
        <w:t>Rebalansom za 20</w:t>
      </w:r>
      <w:r w:rsidR="00E1033D" w:rsidRPr="00714C00">
        <w:rPr>
          <w:rFonts w:ascii="Arial" w:hAnsi="Arial" w:cs="Arial"/>
        </w:rPr>
        <w:t>2</w:t>
      </w:r>
      <w:r w:rsidR="008E1A7B">
        <w:rPr>
          <w:rFonts w:ascii="Arial" w:hAnsi="Arial" w:cs="Arial"/>
        </w:rPr>
        <w:t>2</w:t>
      </w:r>
      <w:r w:rsidR="0093145D" w:rsidRPr="00714C00">
        <w:rPr>
          <w:rFonts w:ascii="Arial" w:hAnsi="Arial" w:cs="Arial"/>
        </w:rPr>
        <w:t>. godinu ukupni rashodi/izdaci proračuna usklađuju se s procijenjenim prihodima/primicima</w:t>
      </w:r>
      <w:r w:rsidR="008E1A7B">
        <w:rPr>
          <w:rFonts w:ascii="Arial" w:hAnsi="Arial" w:cs="Arial"/>
        </w:rPr>
        <w:t>, povećavaju se za 6.</w:t>
      </w:r>
      <w:r w:rsidR="00B30755">
        <w:rPr>
          <w:rFonts w:ascii="Arial" w:hAnsi="Arial" w:cs="Arial"/>
        </w:rPr>
        <w:t>842.913,05</w:t>
      </w:r>
      <w:r w:rsidR="008E1A7B">
        <w:rPr>
          <w:rFonts w:ascii="Arial" w:hAnsi="Arial" w:cs="Arial"/>
        </w:rPr>
        <w:t xml:space="preserve"> kuna (12,</w:t>
      </w:r>
      <w:r w:rsidR="00B30755">
        <w:rPr>
          <w:rFonts w:ascii="Arial" w:hAnsi="Arial" w:cs="Arial"/>
        </w:rPr>
        <w:t>61</w:t>
      </w:r>
      <w:r w:rsidR="008E1A7B">
        <w:rPr>
          <w:rFonts w:ascii="Arial" w:hAnsi="Arial" w:cs="Arial"/>
        </w:rPr>
        <w:t>%)</w:t>
      </w:r>
      <w:r w:rsidR="0093145D" w:rsidRPr="00714C00">
        <w:rPr>
          <w:rFonts w:ascii="Arial" w:hAnsi="Arial" w:cs="Arial"/>
        </w:rPr>
        <w:t xml:space="preserve">. </w:t>
      </w:r>
    </w:p>
    <w:p w14:paraId="2D07CFA9" w14:textId="49A75968" w:rsidR="00E00921" w:rsidRPr="007035E5" w:rsidRDefault="008E1A7B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31 - </w:t>
      </w:r>
      <w:r w:rsidR="00714C00" w:rsidRPr="007035E5">
        <w:rPr>
          <w:rFonts w:ascii="Arial" w:hAnsi="Arial" w:cs="Arial"/>
          <w:b/>
        </w:rPr>
        <w:t>Rashodi za zaposlene</w:t>
      </w:r>
      <w:r w:rsidR="00714C00" w:rsidRPr="007035E5">
        <w:rPr>
          <w:rFonts w:ascii="Arial" w:hAnsi="Arial" w:cs="Arial"/>
        </w:rPr>
        <w:t xml:space="preserve"> povećavaju se za 2</w:t>
      </w:r>
      <w:r>
        <w:rPr>
          <w:rFonts w:ascii="Arial" w:hAnsi="Arial" w:cs="Arial"/>
        </w:rPr>
        <w:t>90.977,08</w:t>
      </w:r>
      <w:r w:rsidR="00714C00" w:rsidRPr="007035E5">
        <w:rPr>
          <w:rFonts w:ascii="Arial" w:hAnsi="Arial" w:cs="Arial"/>
        </w:rPr>
        <w:t xml:space="preserve"> kuna</w:t>
      </w:r>
      <w:r>
        <w:rPr>
          <w:rFonts w:ascii="Arial" w:hAnsi="Arial" w:cs="Arial"/>
        </w:rPr>
        <w:t>, zbog obveza za isplatu otpremnina</w:t>
      </w:r>
      <w:r w:rsidR="00714C00" w:rsidRPr="007035E5">
        <w:rPr>
          <w:rFonts w:ascii="Arial" w:hAnsi="Arial" w:cs="Arial"/>
        </w:rPr>
        <w:t xml:space="preserve"> </w:t>
      </w:r>
      <w:r w:rsidR="00FC747B">
        <w:rPr>
          <w:rFonts w:ascii="Arial" w:hAnsi="Arial" w:cs="Arial"/>
        </w:rPr>
        <w:t xml:space="preserve"> </w:t>
      </w:r>
      <w:r w:rsidR="000D6B1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Dječjem vrtiću Grdelin</w:t>
      </w:r>
      <w:r w:rsidR="00FC747B">
        <w:rPr>
          <w:rFonts w:ascii="Arial" w:hAnsi="Arial" w:cs="Arial"/>
        </w:rPr>
        <w:t>, planiranog usklađenja  pravilnika Doma za starije osobe s dodacima kolektivnog ugovora za djelatnike socijalne skrbi</w:t>
      </w:r>
      <w:r w:rsidR="00B2047A">
        <w:rPr>
          <w:rFonts w:ascii="Arial" w:hAnsi="Arial" w:cs="Arial"/>
        </w:rPr>
        <w:t xml:space="preserve">, usklađenje rashoda za zaposlene kod proračunskog korisnika POU Buzet </w:t>
      </w:r>
      <w:r w:rsidR="00FC747B">
        <w:rPr>
          <w:rFonts w:ascii="Arial" w:hAnsi="Arial" w:cs="Arial"/>
        </w:rPr>
        <w:t>te korekcije obračuna plaća za djelatnike JVP. Detaljnije je objašnjeno u programima.</w:t>
      </w:r>
    </w:p>
    <w:p w14:paraId="1FB646AF" w14:textId="7578C190" w:rsidR="0080371E" w:rsidRDefault="00E47EA3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32 - </w:t>
      </w:r>
      <w:r w:rsidR="009D0F25" w:rsidRPr="007035E5">
        <w:rPr>
          <w:rFonts w:ascii="Arial" w:hAnsi="Arial" w:cs="Arial"/>
          <w:b/>
        </w:rPr>
        <w:t>Materijalni rashodi</w:t>
      </w:r>
      <w:r w:rsidR="00490318" w:rsidRPr="007035E5">
        <w:rPr>
          <w:rFonts w:ascii="Arial" w:hAnsi="Arial" w:cs="Arial"/>
        </w:rPr>
        <w:t xml:space="preserve"> povećavaju se</w:t>
      </w:r>
      <w:r w:rsidR="00E1033D" w:rsidRPr="007035E5">
        <w:rPr>
          <w:rFonts w:ascii="Arial" w:hAnsi="Arial" w:cs="Arial"/>
        </w:rPr>
        <w:t xml:space="preserve"> u iznosu od</w:t>
      </w:r>
      <w:r w:rsidR="00490318" w:rsidRPr="007035E5">
        <w:rPr>
          <w:rFonts w:ascii="Arial" w:hAnsi="Arial" w:cs="Arial"/>
        </w:rPr>
        <w:t xml:space="preserve"> </w:t>
      </w:r>
      <w:r w:rsidR="00FC747B">
        <w:rPr>
          <w:rFonts w:ascii="Arial" w:hAnsi="Arial" w:cs="Arial"/>
        </w:rPr>
        <w:t>1.</w:t>
      </w:r>
      <w:r w:rsidR="00B30755">
        <w:rPr>
          <w:rFonts w:ascii="Arial" w:hAnsi="Arial" w:cs="Arial"/>
        </w:rPr>
        <w:t>404</w:t>
      </w:r>
      <w:r w:rsidR="00FC747B">
        <w:rPr>
          <w:rFonts w:ascii="Arial" w:hAnsi="Arial" w:cs="Arial"/>
        </w:rPr>
        <w:t>.955,09 kuna (</w:t>
      </w:r>
      <w:r w:rsidR="00B30755">
        <w:rPr>
          <w:rFonts w:ascii="Arial" w:hAnsi="Arial" w:cs="Arial"/>
        </w:rPr>
        <w:t>11,03</w:t>
      </w:r>
      <w:r w:rsidR="00FC747B">
        <w:rPr>
          <w:rFonts w:ascii="Arial" w:hAnsi="Arial" w:cs="Arial"/>
        </w:rPr>
        <w:t>%)</w:t>
      </w:r>
      <w:r w:rsidR="00ED50D6">
        <w:rPr>
          <w:rFonts w:ascii="Arial" w:hAnsi="Arial" w:cs="Arial"/>
        </w:rPr>
        <w:t>.</w:t>
      </w:r>
    </w:p>
    <w:p w14:paraId="42B3F402" w14:textId="77E9BE3C" w:rsidR="00ED50D6" w:rsidRDefault="00ED50D6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Prikaz promjena materijalnih rashoda po razdjelima:</w:t>
      </w:r>
    </w:p>
    <w:tbl>
      <w:tblPr>
        <w:tblW w:w="8040" w:type="dxa"/>
        <w:tblLook w:val="04A0" w:firstRow="1" w:lastRow="0" w:firstColumn="1" w:lastColumn="0" w:noHBand="0" w:noVBand="1"/>
      </w:tblPr>
      <w:tblGrid>
        <w:gridCol w:w="3060"/>
        <w:gridCol w:w="1496"/>
        <w:gridCol w:w="1384"/>
        <w:gridCol w:w="1496"/>
        <w:gridCol w:w="939"/>
      </w:tblGrid>
      <w:tr w:rsidR="00AE3793" w:rsidRPr="00AE3793" w14:paraId="69699C87" w14:textId="77777777" w:rsidTr="00AE3793">
        <w:trPr>
          <w:trHeight w:val="52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D678589" w14:textId="77777777" w:rsidR="00AE3793" w:rsidRPr="00AE3793" w:rsidRDefault="00AE3793" w:rsidP="00AE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/ Glava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7ACA49" w14:textId="77777777" w:rsidR="00AE3793" w:rsidRPr="00AE3793" w:rsidRDefault="00AE3793" w:rsidP="00AE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6CAF3379" w14:textId="77777777" w:rsidR="00AE3793" w:rsidRPr="00AE3793" w:rsidRDefault="00AE3793" w:rsidP="00AE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856AACF" w14:textId="77777777" w:rsidR="00AE3793" w:rsidRPr="00AE3793" w:rsidRDefault="00AE3793" w:rsidP="00AE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FE398CC" w14:textId="77777777" w:rsidR="00AE3793" w:rsidRPr="00AE3793" w:rsidRDefault="00AE3793" w:rsidP="00AE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AE3793" w:rsidRPr="00AE3793" w14:paraId="04922BB0" w14:textId="77777777" w:rsidTr="00AE3793">
        <w:trPr>
          <w:trHeight w:val="67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DFC1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UO za opće poslove, društvene djelatnosti i razvojne projekte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BA7F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2.117.086,40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4346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522.348,29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A38D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2.639.434,69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513C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124,673</w:t>
            </w:r>
          </w:p>
        </w:tc>
      </w:tr>
      <w:tr w:rsidR="00AE3793" w:rsidRPr="00AE3793" w14:paraId="689138BA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BDF3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Javna vatrogasna postrojba Buzet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0A43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406.100,37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9744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3C6E6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511.400,37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2C10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125,93</w:t>
            </w:r>
          </w:p>
        </w:tc>
      </w:tr>
      <w:tr w:rsidR="00AE3793" w:rsidRPr="00AE3793" w14:paraId="34134588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2C63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Dječji vrtić "Grdelin" Buzet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8C43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1.715.100,00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A5F4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-43.678,84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563A5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1.671.421,16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A142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97,4533</w:t>
            </w:r>
          </w:p>
        </w:tc>
      </w:tr>
      <w:tr w:rsidR="00AE3793" w:rsidRPr="00AE3793" w14:paraId="2AF33695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431A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Pučko otvoreno učilište Buzet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2E55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506.000,00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76AD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47.203,39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B82A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553.203,39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2410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109,329</w:t>
            </w:r>
          </w:p>
        </w:tc>
      </w:tr>
      <w:tr w:rsidR="00AE3793" w:rsidRPr="00AE3793" w14:paraId="0FDDA7C7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1B185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za starije osobe Buzet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4086B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2.009.979,76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C731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9.442,00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5FDD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2.019.421,76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A2E9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100,47</w:t>
            </w:r>
          </w:p>
        </w:tc>
      </w:tr>
      <w:tr w:rsidR="00AE3793" w:rsidRPr="00AE3793" w14:paraId="0DB55583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3CAF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UO za financije i gospodarstvo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6D2AC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533.748,23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0D2A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50.115,00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E7B1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583.863,23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2634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109,389</w:t>
            </w:r>
          </w:p>
        </w:tc>
      </w:tr>
      <w:tr w:rsidR="00AE3793" w:rsidRPr="00AE3793" w14:paraId="7562B99D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340C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UO za gospodarenje prostorom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5F57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5.448.349,60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622D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714.224,64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27EB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6.162.574,24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5ED3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113,109</w:t>
            </w:r>
          </w:p>
        </w:tc>
      </w:tr>
      <w:tr w:rsidR="00AE3793" w:rsidRPr="00AE3793" w14:paraId="5D0FB4BD" w14:textId="77777777" w:rsidTr="00AE3793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AAB4" w14:textId="77777777" w:rsidR="00AE3793" w:rsidRPr="00AE3793" w:rsidRDefault="00AE3793" w:rsidP="00AE37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CA02B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12.736.364,36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7739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1.404.954,48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AB3C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14.141.318,84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FB5C" w14:textId="77777777" w:rsidR="00AE3793" w:rsidRPr="00AE3793" w:rsidRDefault="00AE3793" w:rsidP="00AE37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37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111,031</w:t>
            </w:r>
          </w:p>
        </w:tc>
      </w:tr>
    </w:tbl>
    <w:p w14:paraId="5D33F948" w14:textId="2DEF382B" w:rsidR="00AE3793" w:rsidRDefault="00AE3793" w:rsidP="00E34289">
      <w:pPr>
        <w:jc w:val="both"/>
        <w:rPr>
          <w:rFonts w:ascii="Arial" w:hAnsi="Arial" w:cs="Arial"/>
        </w:rPr>
      </w:pPr>
    </w:p>
    <w:p w14:paraId="327B8E0E" w14:textId="007534A8" w:rsidR="00ED50D6" w:rsidRDefault="00ED50D6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materijalnih rashoda u </w:t>
      </w:r>
      <w:r w:rsidRPr="005018B8">
        <w:rPr>
          <w:rFonts w:ascii="Arial" w:hAnsi="Arial" w:cs="Arial"/>
          <w:b/>
          <w:bCs/>
          <w:i/>
          <w:iCs/>
        </w:rPr>
        <w:t>Upravnom odjelu za opće poslove</w:t>
      </w:r>
      <w:r w:rsidR="005018B8" w:rsidRPr="005018B8">
        <w:rPr>
          <w:rFonts w:ascii="Arial" w:hAnsi="Arial" w:cs="Arial"/>
          <w:b/>
          <w:bCs/>
          <w:i/>
          <w:iCs/>
        </w:rPr>
        <w:t xml:space="preserve"> društvene djelatnosti i razvojne projekte</w:t>
      </w:r>
      <w:r>
        <w:rPr>
          <w:rFonts w:ascii="Arial" w:hAnsi="Arial" w:cs="Arial"/>
        </w:rPr>
        <w:t xml:space="preserve"> uglavnom se odnosi na materijalne rashode mjesnih odbora</w:t>
      </w:r>
      <w:r w:rsidR="00D7055E">
        <w:rPr>
          <w:rFonts w:ascii="Arial" w:hAnsi="Arial" w:cs="Arial"/>
        </w:rPr>
        <w:t xml:space="preserve"> planiranih na temelju raspodjele viška iz prethodne godine, iznos 206.248,29 kn, </w:t>
      </w:r>
      <w:r w:rsidR="00007FD7">
        <w:rPr>
          <w:rFonts w:ascii="Arial" w:hAnsi="Arial" w:cs="Arial"/>
        </w:rPr>
        <w:t xml:space="preserve">ugovorene usluge </w:t>
      </w:r>
      <w:proofErr w:type="spellStart"/>
      <w:r w:rsidR="00007FD7">
        <w:rPr>
          <w:rFonts w:ascii="Arial" w:hAnsi="Arial" w:cs="Arial"/>
        </w:rPr>
        <w:t>probidžbe</w:t>
      </w:r>
      <w:proofErr w:type="spellEnd"/>
      <w:r w:rsidR="00007FD7">
        <w:rPr>
          <w:rFonts w:ascii="Arial" w:hAnsi="Arial" w:cs="Arial"/>
        </w:rPr>
        <w:t xml:space="preserve"> </w:t>
      </w:r>
      <w:r w:rsidR="0045500D">
        <w:rPr>
          <w:rFonts w:ascii="Arial" w:hAnsi="Arial" w:cs="Arial"/>
        </w:rPr>
        <w:t xml:space="preserve">koje će se provoditi tijekom dogradnje Doma za starije (oglašavanje, vizualna rješenja, </w:t>
      </w:r>
      <w:proofErr w:type="spellStart"/>
      <w:r w:rsidR="0045500D">
        <w:rPr>
          <w:rFonts w:ascii="Arial" w:hAnsi="Arial" w:cs="Arial"/>
        </w:rPr>
        <w:t>ketering</w:t>
      </w:r>
      <w:proofErr w:type="spellEnd"/>
      <w:r w:rsidR="0045500D">
        <w:rPr>
          <w:rFonts w:ascii="Arial" w:hAnsi="Arial" w:cs="Arial"/>
        </w:rPr>
        <w:t xml:space="preserve">, predstavljanje, letci), </w:t>
      </w:r>
      <w:r w:rsidR="00D7055E">
        <w:rPr>
          <w:rFonts w:ascii="Arial" w:hAnsi="Arial" w:cs="Arial"/>
        </w:rPr>
        <w:t xml:space="preserve">migracija servera koja je ugovorena prošle godine a faktura je ispostavljena i plaćena u ovoj godini 26.000,00 kn, </w:t>
      </w:r>
      <w:r w:rsidR="005018B8">
        <w:rPr>
          <w:rFonts w:ascii="Arial" w:hAnsi="Arial" w:cs="Arial"/>
        </w:rPr>
        <w:t xml:space="preserve">sufinanciranje prijevoza djece u Novi vinodolski – ljetni kamp, 16.000,00 kn , zaštita spomenika kulture </w:t>
      </w:r>
      <w:proofErr w:type="spellStart"/>
      <w:r w:rsidR="005018B8">
        <w:rPr>
          <w:rFonts w:ascii="Arial" w:hAnsi="Arial" w:cs="Arial"/>
        </w:rPr>
        <w:t>Sv.Bartol</w:t>
      </w:r>
      <w:proofErr w:type="spellEnd"/>
      <w:r w:rsidR="005018B8">
        <w:rPr>
          <w:rFonts w:ascii="Arial" w:hAnsi="Arial" w:cs="Arial"/>
        </w:rPr>
        <w:t xml:space="preserve"> </w:t>
      </w:r>
      <w:proofErr w:type="spellStart"/>
      <w:r w:rsidR="005018B8">
        <w:rPr>
          <w:rFonts w:ascii="Arial" w:hAnsi="Arial" w:cs="Arial"/>
        </w:rPr>
        <w:t>Roč</w:t>
      </w:r>
      <w:proofErr w:type="spellEnd"/>
      <w:r w:rsidR="005018B8">
        <w:rPr>
          <w:rFonts w:ascii="Arial" w:hAnsi="Arial" w:cs="Arial"/>
        </w:rPr>
        <w:t xml:space="preserve"> i sakristija crkvice </w:t>
      </w:r>
      <w:proofErr w:type="spellStart"/>
      <w:r w:rsidR="005018B8">
        <w:rPr>
          <w:rFonts w:ascii="Arial" w:hAnsi="Arial" w:cs="Arial"/>
        </w:rPr>
        <w:t>Sv.Jurija</w:t>
      </w:r>
      <w:proofErr w:type="spellEnd"/>
      <w:r w:rsidR="005018B8">
        <w:rPr>
          <w:rFonts w:ascii="Arial" w:hAnsi="Arial" w:cs="Arial"/>
        </w:rPr>
        <w:t xml:space="preserve"> Buzet 50.000,00 kuna za što su sredstva osigurana od Istarske županije. </w:t>
      </w:r>
      <w:r w:rsidR="00976566">
        <w:rPr>
          <w:rFonts w:ascii="Arial" w:hAnsi="Arial" w:cs="Arial"/>
        </w:rPr>
        <w:t xml:space="preserve">Kod </w:t>
      </w:r>
      <w:r w:rsidR="00976566" w:rsidRPr="00976566">
        <w:rPr>
          <w:rFonts w:ascii="Arial" w:hAnsi="Arial" w:cs="Arial"/>
          <w:b/>
          <w:bCs/>
          <w:i/>
          <w:iCs/>
        </w:rPr>
        <w:t xml:space="preserve">proračunskog korisnika Javne vatrogasne postrojbe </w:t>
      </w:r>
      <w:r w:rsidR="00976566">
        <w:rPr>
          <w:rFonts w:ascii="Arial" w:hAnsi="Arial" w:cs="Arial"/>
        </w:rPr>
        <w:t xml:space="preserve">uglavnom se povećava zbog troškova motornog benzina 50.000,00 kuna, energije 20.000,00 kuna, službene i zaštitne odjeće 20.000,00 kuna. </w:t>
      </w:r>
      <w:r w:rsidR="00976566" w:rsidRPr="00890839">
        <w:rPr>
          <w:rFonts w:ascii="Arial" w:hAnsi="Arial" w:cs="Arial"/>
          <w:b/>
          <w:bCs/>
          <w:i/>
          <w:iCs/>
        </w:rPr>
        <w:t>Pučko otvoreno učilište</w:t>
      </w:r>
      <w:r w:rsidR="00976566">
        <w:rPr>
          <w:rFonts w:ascii="Arial" w:hAnsi="Arial" w:cs="Arial"/>
        </w:rPr>
        <w:t xml:space="preserve"> povećava materijalne troškove za usluge održavanja sustava multimedijalne opreme i  uređaja na kaštelu 28.150,00 kuna,</w:t>
      </w:r>
      <w:r w:rsidR="0045500D">
        <w:rPr>
          <w:rFonts w:ascii="Arial" w:hAnsi="Arial" w:cs="Arial"/>
        </w:rPr>
        <w:t xml:space="preserve"> te </w:t>
      </w:r>
      <w:r w:rsidR="00976566">
        <w:rPr>
          <w:rFonts w:ascii="Arial" w:hAnsi="Arial" w:cs="Arial"/>
        </w:rPr>
        <w:t xml:space="preserve">programe u kaštelu 15.000,00 kuna. </w:t>
      </w:r>
      <w:r w:rsidR="00FF06FF">
        <w:rPr>
          <w:rFonts w:ascii="Arial" w:hAnsi="Arial" w:cs="Arial"/>
        </w:rPr>
        <w:t xml:space="preserve">Povećanje u </w:t>
      </w:r>
      <w:r w:rsidR="00FF06FF" w:rsidRPr="00890839">
        <w:rPr>
          <w:rFonts w:ascii="Arial" w:hAnsi="Arial" w:cs="Arial"/>
          <w:b/>
          <w:bCs/>
          <w:i/>
          <w:iCs/>
        </w:rPr>
        <w:t>upravnom odjelu za financije i gospodarstvo</w:t>
      </w:r>
      <w:r w:rsidR="00FF06FF">
        <w:rPr>
          <w:rFonts w:ascii="Arial" w:hAnsi="Arial" w:cs="Arial"/>
        </w:rPr>
        <w:t xml:space="preserve"> uglavnom se odnosi na računovodstvene usluge, u iznosu 47.615,00 kuna, zbog odlaska jednog djelatnika angažirane su vanjske usluge</w:t>
      </w:r>
      <w:r w:rsidR="0045500D">
        <w:rPr>
          <w:rFonts w:ascii="Arial" w:hAnsi="Arial" w:cs="Arial"/>
        </w:rPr>
        <w:t>, s druge strane smanjeni su rashodi za zaposlene u odjelu</w:t>
      </w:r>
      <w:r w:rsidR="00FF06FF">
        <w:rPr>
          <w:rFonts w:ascii="Arial" w:hAnsi="Arial" w:cs="Arial"/>
        </w:rPr>
        <w:t xml:space="preserve">. U </w:t>
      </w:r>
      <w:r w:rsidR="00FF06FF" w:rsidRPr="00890839">
        <w:rPr>
          <w:rFonts w:ascii="Arial" w:hAnsi="Arial" w:cs="Arial"/>
          <w:b/>
          <w:bCs/>
          <w:i/>
          <w:iCs/>
        </w:rPr>
        <w:t>upravnom odjelu za gospodarenje</w:t>
      </w:r>
      <w:r w:rsidR="00FF06FF">
        <w:rPr>
          <w:rFonts w:ascii="Arial" w:hAnsi="Arial" w:cs="Arial"/>
        </w:rPr>
        <w:t xml:space="preserve"> prostorom promjene se uglavnom odnose na </w:t>
      </w:r>
      <w:r w:rsidR="00890839">
        <w:rPr>
          <w:rFonts w:ascii="Arial" w:hAnsi="Arial" w:cs="Arial"/>
        </w:rPr>
        <w:t xml:space="preserve"> </w:t>
      </w:r>
      <w:r w:rsidR="00890839" w:rsidRPr="00DD03B4">
        <w:rPr>
          <w:rFonts w:ascii="Arial" w:hAnsi="Arial" w:cs="Arial"/>
          <w:b/>
          <w:bCs/>
        </w:rPr>
        <w:t>program održavanja objekata i uređaja</w:t>
      </w:r>
      <w:r w:rsidR="00890839">
        <w:rPr>
          <w:rFonts w:ascii="Arial" w:hAnsi="Arial" w:cs="Arial"/>
        </w:rPr>
        <w:t xml:space="preserve">  </w:t>
      </w:r>
      <w:r w:rsidR="0099470B">
        <w:rPr>
          <w:rFonts w:ascii="Arial" w:hAnsi="Arial" w:cs="Arial"/>
        </w:rPr>
        <w:t>35</w:t>
      </w:r>
      <w:r w:rsidR="00281F50">
        <w:rPr>
          <w:rFonts w:ascii="Arial" w:hAnsi="Arial" w:cs="Arial"/>
        </w:rPr>
        <w:t>4.284,52</w:t>
      </w:r>
      <w:r w:rsidR="00890839">
        <w:rPr>
          <w:rFonts w:ascii="Arial" w:hAnsi="Arial" w:cs="Arial"/>
        </w:rPr>
        <w:t xml:space="preserve"> kune</w:t>
      </w:r>
      <w:r w:rsidR="00281F50">
        <w:rPr>
          <w:rFonts w:ascii="Arial" w:hAnsi="Arial" w:cs="Arial"/>
        </w:rPr>
        <w:t xml:space="preserve"> (povećava se iznos za </w:t>
      </w:r>
      <w:r w:rsidR="0083414E">
        <w:rPr>
          <w:rFonts w:ascii="Arial" w:hAnsi="Arial" w:cs="Arial"/>
        </w:rPr>
        <w:lastRenderedPageBreak/>
        <w:t xml:space="preserve">geodetske i ostale intelektualne usluge 114.800,52 kuna; izrada GIS prostornih podataka 45.000,00 kuna; </w:t>
      </w:r>
      <w:r w:rsidR="00281F50">
        <w:rPr>
          <w:rFonts w:ascii="Arial" w:hAnsi="Arial" w:cs="Arial"/>
        </w:rPr>
        <w:t>održavanje naselja 67.000,00 kun</w:t>
      </w:r>
      <w:r w:rsidR="0083414E">
        <w:rPr>
          <w:rFonts w:ascii="Arial" w:hAnsi="Arial" w:cs="Arial"/>
        </w:rPr>
        <w:t xml:space="preserve">a; </w:t>
      </w:r>
      <w:r w:rsidR="0083414E">
        <w:rPr>
          <w:rFonts w:ascii="Arial" w:hAnsi="Arial" w:cs="Arial"/>
        </w:rPr>
        <w:t xml:space="preserve">obilježavanje naselja, ulica, cesta i prometne signalizacije </w:t>
      </w:r>
      <w:r w:rsidR="005443A3">
        <w:rPr>
          <w:rFonts w:ascii="Arial" w:hAnsi="Arial" w:cs="Arial"/>
        </w:rPr>
        <w:t xml:space="preserve">37.389,75 kuna; </w:t>
      </w:r>
      <w:r w:rsidR="0083414E">
        <w:rPr>
          <w:rFonts w:ascii="Arial" w:hAnsi="Arial" w:cs="Arial"/>
        </w:rPr>
        <w:t xml:space="preserve">higijeničarski servis za 50.000,00 kuna; </w:t>
      </w:r>
      <w:r w:rsidR="005443A3">
        <w:rPr>
          <w:rFonts w:ascii="Arial" w:hAnsi="Arial" w:cs="Arial"/>
        </w:rPr>
        <w:t>održavanje atmosferskih voda 30.000,00 kn)</w:t>
      </w:r>
      <w:r w:rsidR="00890839">
        <w:rPr>
          <w:rFonts w:ascii="Arial" w:hAnsi="Arial" w:cs="Arial"/>
        </w:rPr>
        <w:t xml:space="preserve">, </w:t>
      </w:r>
      <w:r w:rsidR="00890839" w:rsidRPr="00DD03B4">
        <w:rPr>
          <w:rFonts w:ascii="Arial" w:hAnsi="Arial" w:cs="Arial"/>
          <w:b/>
          <w:bCs/>
        </w:rPr>
        <w:t xml:space="preserve">poduzetnički inkubator </w:t>
      </w:r>
      <w:proofErr w:type="spellStart"/>
      <w:r w:rsidR="0099470B" w:rsidRPr="00DD03B4">
        <w:rPr>
          <w:rFonts w:ascii="Arial" w:hAnsi="Arial" w:cs="Arial"/>
          <w:b/>
          <w:bCs/>
        </w:rPr>
        <w:t>Verzi</w:t>
      </w:r>
      <w:proofErr w:type="spellEnd"/>
      <w:r w:rsidR="0099470B">
        <w:rPr>
          <w:rFonts w:ascii="Arial" w:hAnsi="Arial" w:cs="Arial"/>
        </w:rPr>
        <w:t xml:space="preserve"> </w:t>
      </w:r>
      <w:r w:rsidR="0099470B" w:rsidRPr="0099470B">
        <w:rPr>
          <w:rFonts w:ascii="Arial" w:hAnsi="Arial" w:cs="Arial"/>
        </w:rPr>
        <w:t>133.484,84</w:t>
      </w:r>
      <w:r w:rsidR="0099470B">
        <w:rPr>
          <w:rFonts w:ascii="Arial" w:hAnsi="Arial" w:cs="Arial"/>
        </w:rPr>
        <w:t xml:space="preserve"> kun</w:t>
      </w:r>
      <w:r w:rsidR="00DD03B4">
        <w:rPr>
          <w:rFonts w:ascii="Arial" w:hAnsi="Arial" w:cs="Arial"/>
        </w:rPr>
        <w:t xml:space="preserve">e (namjenski prenesena sredstva  za ugovorene obveze iz EU projekta, revizija projekta 33.750,00 kn; praćenje i provedba projekta 40.034,84 kune te usluga upravljanja poduzetničkim inkubatorom 59.700,00 kuna) </w:t>
      </w:r>
      <w:r w:rsidR="0099470B">
        <w:rPr>
          <w:rFonts w:ascii="Arial" w:hAnsi="Arial" w:cs="Arial"/>
        </w:rPr>
        <w:t xml:space="preserve">, </w:t>
      </w:r>
      <w:r w:rsidR="0099470B" w:rsidRPr="00D2596A">
        <w:rPr>
          <w:rFonts w:ascii="Arial" w:hAnsi="Arial" w:cs="Arial"/>
          <w:b/>
          <w:bCs/>
        </w:rPr>
        <w:t>te 221.455,28  kun</w:t>
      </w:r>
      <w:r w:rsidR="00D2596A">
        <w:rPr>
          <w:rFonts w:ascii="Arial" w:hAnsi="Arial" w:cs="Arial"/>
          <w:b/>
          <w:bCs/>
        </w:rPr>
        <w:t>a</w:t>
      </w:r>
      <w:r w:rsidR="0099470B" w:rsidRPr="00D2596A">
        <w:rPr>
          <w:rFonts w:ascii="Arial" w:hAnsi="Arial" w:cs="Arial"/>
          <w:b/>
          <w:bCs/>
        </w:rPr>
        <w:t xml:space="preserve"> održavanje objekata i uređaja</w:t>
      </w:r>
      <w:r w:rsidR="0099470B">
        <w:rPr>
          <w:rFonts w:ascii="Arial" w:hAnsi="Arial" w:cs="Arial"/>
        </w:rPr>
        <w:t xml:space="preserve"> </w:t>
      </w:r>
      <w:r w:rsidR="00DD03B4">
        <w:rPr>
          <w:rFonts w:ascii="Arial" w:hAnsi="Arial" w:cs="Arial"/>
        </w:rPr>
        <w:t>(održavanje zajedničkih dijelova i uređaja zgrada povećava se za 100.000,00 kuna</w:t>
      </w:r>
      <w:r w:rsidR="00D2596A">
        <w:rPr>
          <w:rFonts w:ascii="Arial" w:hAnsi="Arial" w:cs="Arial"/>
        </w:rPr>
        <w:t>;</w:t>
      </w:r>
      <w:r w:rsidR="00DD03B4">
        <w:rPr>
          <w:rFonts w:ascii="Arial" w:hAnsi="Arial" w:cs="Arial"/>
        </w:rPr>
        <w:t xml:space="preserve"> </w:t>
      </w:r>
      <w:r w:rsidR="00D2596A">
        <w:rPr>
          <w:rFonts w:ascii="Arial" w:hAnsi="Arial" w:cs="Arial"/>
        </w:rPr>
        <w:t xml:space="preserve">adaptacija i održavanje prostora za 75.000,00 kuna; adaptacija i održavanje stanova za posebne namjene 41.455,28 kuna), </w:t>
      </w:r>
      <w:r w:rsidR="0099470B">
        <w:rPr>
          <w:rFonts w:ascii="Arial" w:hAnsi="Arial" w:cs="Arial"/>
        </w:rPr>
        <w:t xml:space="preserve">detaljnije je </w:t>
      </w:r>
      <w:r w:rsidR="00D2596A">
        <w:rPr>
          <w:rFonts w:ascii="Arial" w:hAnsi="Arial" w:cs="Arial"/>
        </w:rPr>
        <w:t xml:space="preserve">sve </w:t>
      </w:r>
      <w:r w:rsidR="0099470B">
        <w:rPr>
          <w:rFonts w:ascii="Arial" w:hAnsi="Arial" w:cs="Arial"/>
        </w:rPr>
        <w:t>objašnjeno u programima.</w:t>
      </w:r>
      <w:r w:rsidR="0045500D">
        <w:rPr>
          <w:rFonts w:ascii="Arial" w:hAnsi="Arial" w:cs="Arial"/>
        </w:rPr>
        <w:t xml:space="preserve"> </w:t>
      </w:r>
    </w:p>
    <w:p w14:paraId="4E2A8D16" w14:textId="43E5BAC3" w:rsidR="00F6141E" w:rsidRDefault="00E47EA3" w:rsidP="00E3428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38 - </w:t>
      </w:r>
      <w:r w:rsidR="007035E5" w:rsidRPr="00CB668C">
        <w:rPr>
          <w:rFonts w:ascii="Arial" w:hAnsi="Arial" w:cs="Arial"/>
          <w:b/>
        </w:rPr>
        <w:t>Ostali rashodi</w:t>
      </w:r>
      <w:r w:rsidR="00CB668C" w:rsidRPr="00CB668C">
        <w:rPr>
          <w:rFonts w:ascii="Arial" w:hAnsi="Arial" w:cs="Arial"/>
          <w:b/>
        </w:rPr>
        <w:t xml:space="preserve"> </w:t>
      </w:r>
      <w:r w:rsidR="001642F1" w:rsidRPr="001642F1">
        <w:rPr>
          <w:rFonts w:ascii="Arial" w:hAnsi="Arial" w:cs="Arial"/>
          <w:bCs/>
        </w:rPr>
        <w:t>povećavaju se za</w:t>
      </w:r>
      <w:r w:rsidR="001642F1">
        <w:rPr>
          <w:rFonts w:ascii="Arial" w:hAnsi="Arial" w:cs="Arial"/>
          <w:bCs/>
        </w:rPr>
        <w:t xml:space="preserve"> 660.284,49 kuna, s uglavnom se odnose na  program zaštite i očuvanja čovjekove okoline</w:t>
      </w:r>
      <w:r w:rsidR="006558C9">
        <w:rPr>
          <w:rFonts w:ascii="Arial" w:hAnsi="Arial" w:cs="Arial"/>
          <w:bCs/>
        </w:rPr>
        <w:t xml:space="preserve"> -Park odvodnja, prijenos za izgradnju kanalizacije i izradu projekata</w:t>
      </w:r>
      <w:r w:rsidR="001642F1">
        <w:rPr>
          <w:rFonts w:ascii="Arial" w:hAnsi="Arial" w:cs="Arial"/>
          <w:bCs/>
        </w:rPr>
        <w:t>, 330.000,00 kuna</w:t>
      </w:r>
      <w:r w:rsidR="006558C9">
        <w:rPr>
          <w:rFonts w:ascii="Arial" w:hAnsi="Arial" w:cs="Arial"/>
          <w:bCs/>
        </w:rPr>
        <w:t>;</w:t>
      </w:r>
      <w:r w:rsidR="001642F1">
        <w:rPr>
          <w:rFonts w:ascii="Arial" w:hAnsi="Arial" w:cs="Arial"/>
          <w:bCs/>
        </w:rPr>
        <w:t xml:space="preserve"> program gospodarenja otpadom-kapitalna potpora komunalnom poduzeću za kupnju komunalnog vozila 168.000,00 kuna</w:t>
      </w:r>
      <w:r w:rsidR="00F6141E">
        <w:rPr>
          <w:rFonts w:ascii="Arial" w:hAnsi="Arial" w:cs="Arial"/>
          <w:bCs/>
        </w:rPr>
        <w:t xml:space="preserve">, </w:t>
      </w:r>
      <w:r w:rsidR="001642F1">
        <w:rPr>
          <w:rFonts w:ascii="Arial" w:hAnsi="Arial" w:cs="Arial"/>
          <w:bCs/>
        </w:rPr>
        <w:t xml:space="preserve"> kapitalne </w:t>
      </w:r>
      <w:r w:rsidR="006558C9">
        <w:rPr>
          <w:rFonts w:ascii="Arial" w:hAnsi="Arial" w:cs="Arial"/>
          <w:bCs/>
        </w:rPr>
        <w:t xml:space="preserve">potpore za energetsku obnovu u </w:t>
      </w:r>
      <w:r w:rsidR="001642F1">
        <w:rPr>
          <w:rFonts w:ascii="Arial" w:hAnsi="Arial" w:cs="Arial"/>
          <w:bCs/>
        </w:rPr>
        <w:t>iznosu 130.000,00 kuna</w:t>
      </w:r>
      <w:r w:rsidR="00F6141E">
        <w:rPr>
          <w:rFonts w:ascii="Arial" w:hAnsi="Arial" w:cs="Arial"/>
          <w:bCs/>
        </w:rPr>
        <w:t>, te program ostale potrebe u kulturi 15.000,00 kuna.</w:t>
      </w:r>
    </w:p>
    <w:p w14:paraId="31F5626F" w14:textId="56085F55" w:rsidR="002C7ACC" w:rsidRDefault="00314C83" w:rsidP="00E34289">
      <w:pPr>
        <w:jc w:val="both"/>
        <w:rPr>
          <w:rFonts w:ascii="Arial" w:hAnsi="Arial" w:cs="Arial"/>
          <w:bCs/>
        </w:rPr>
      </w:pPr>
      <w:r w:rsidRPr="00B77788">
        <w:rPr>
          <w:rFonts w:ascii="Arial" w:hAnsi="Arial" w:cs="Arial"/>
          <w:b/>
          <w:bCs/>
        </w:rPr>
        <w:t>41-</w:t>
      </w:r>
      <w:r>
        <w:rPr>
          <w:rFonts w:ascii="Arial" w:hAnsi="Arial" w:cs="Arial"/>
        </w:rPr>
        <w:t xml:space="preserve"> </w:t>
      </w:r>
      <w:r w:rsidRPr="00314C83">
        <w:rPr>
          <w:rFonts w:ascii="Arial" w:hAnsi="Arial" w:cs="Arial"/>
          <w:b/>
          <w:bCs/>
        </w:rPr>
        <w:t>R</w:t>
      </w:r>
      <w:r w:rsidR="00B971D8" w:rsidRPr="00314C83">
        <w:rPr>
          <w:rFonts w:ascii="Arial" w:hAnsi="Arial" w:cs="Arial"/>
          <w:b/>
          <w:bCs/>
        </w:rPr>
        <w:t>a</w:t>
      </w:r>
      <w:r w:rsidR="00B971D8" w:rsidRPr="00CB668C">
        <w:rPr>
          <w:rFonts w:ascii="Arial" w:hAnsi="Arial" w:cs="Arial"/>
          <w:b/>
        </w:rPr>
        <w:t xml:space="preserve">shodi za nabavu </w:t>
      </w:r>
      <w:proofErr w:type="spellStart"/>
      <w:r>
        <w:rPr>
          <w:rFonts w:ascii="Arial" w:hAnsi="Arial" w:cs="Arial"/>
          <w:b/>
        </w:rPr>
        <w:t>neproizvedene</w:t>
      </w:r>
      <w:proofErr w:type="spellEnd"/>
      <w:r>
        <w:rPr>
          <w:rFonts w:ascii="Arial" w:hAnsi="Arial" w:cs="Arial"/>
          <w:b/>
        </w:rPr>
        <w:t xml:space="preserve"> dugotrajne imovine, </w:t>
      </w:r>
      <w:r w:rsidRPr="00314C83">
        <w:rPr>
          <w:rFonts w:ascii="Arial" w:hAnsi="Arial" w:cs="Arial"/>
          <w:bCs/>
        </w:rPr>
        <w:t>predloženo povećanje uglavnom se odnosi na</w:t>
      </w:r>
      <w:r>
        <w:rPr>
          <w:rFonts w:ascii="Arial" w:hAnsi="Arial" w:cs="Arial"/>
          <w:bCs/>
        </w:rPr>
        <w:t xml:space="preserve"> program gradnje objekata i uređaja, 276.855 kuna, te program gospodarstva </w:t>
      </w:r>
      <w:r w:rsidR="002C7ACC">
        <w:rPr>
          <w:rFonts w:ascii="Arial" w:hAnsi="Arial" w:cs="Arial"/>
          <w:bCs/>
        </w:rPr>
        <w:t>(izradu programa raspolaganja zemljištem u vlasništvu RH i izradu programa zaštite divljači van lovnog područja), 68.000,00 kuna.</w:t>
      </w:r>
    </w:p>
    <w:p w14:paraId="2CB927A1" w14:textId="3FCD5F80" w:rsidR="003A4A37" w:rsidRPr="007035E5" w:rsidRDefault="002C7ACC" w:rsidP="00E34289">
      <w:pPr>
        <w:jc w:val="both"/>
        <w:rPr>
          <w:rFonts w:ascii="Arial" w:hAnsi="Arial" w:cs="Arial"/>
        </w:rPr>
      </w:pPr>
      <w:r w:rsidRPr="00B77788">
        <w:rPr>
          <w:rFonts w:ascii="Arial" w:hAnsi="Arial" w:cs="Arial"/>
          <w:b/>
        </w:rPr>
        <w:t>42</w:t>
      </w:r>
      <w:r>
        <w:rPr>
          <w:rFonts w:ascii="Arial" w:hAnsi="Arial" w:cs="Arial"/>
          <w:bCs/>
        </w:rPr>
        <w:t xml:space="preserve">- </w:t>
      </w:r>
      <w:r w:rsidRPr="00B77788">
        <w:rPr>
          <w:rFonts w:ascii="Arial" w:hAnsi="Arial" w:cs="Arial"/>
          <w:b/>
        </w:rPr>
        <w:t>Rashodi za nabavu proizvedene dugotrajne imovine</w:t>
      </w:r>
      <w:r>
        <w:rPr>
          <w:rFonts w:ascii="Arial" w:hAnsi="Arial" w:cs="Arial"/>
          <w:bCs/>
        </w:rPr>
        <w:t>, predloženo povećanje odnosi se na program gradnje objekata i uređaja,</w:t>
      </w:r>
      <w:r w:rsidR="006558C9">
        <w:rPr>
          <w:rFonts w:ascii="Arial" w:hAnsi="Arial" w:cs="Arial"/>
          <w:bCs/>
        </w:rPr>
        <w:t xml:space="preserve"> 376.855,00 kuna povećava se iznos za izradu tehničke dokumentacije, </w:t>
      </w:r>
      <w:r w:rsidR="00252956">
        <w:rPr>
          <w:rFonts w:ascii="Arial" w:hAnsi="Arial" w:cs="Arial"/>
          <w:bCs/>
        </w:rPr>
        <w:t>120.000,00 kuna za izgradnju javne rasvjete, 120.000,00 kuna troškove opremanja stanova POS-e</w:t>
      </w:r>
      <w:r>
        <w:rPr>
          <w:rFonts w:ascii="Arial" w:hAnsi="Arial" w:cs="Arial"/>
          <w:bCs/>
        </w:rPr>
        <w:t xml:space="preserve"> </w:t>
      </w:r>
      <w:r w:rsidR="00B7778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najveći iznos povećanja </w:t>
      </w:r>
      <w:r w:rsidR="00B77788">
        <w:rPr>
          <w:rFonts w:ascii="Arial" w:hAnsi="Arial" w:cs="Arial"/>
          <w:bCs/>
        </w:rPr>
        <w:t xml:space="preserve">unutar navedenog programa, </w:t>
      </w:r>
      <w:r>
        <w:rPr>
          <w:rFonts w:ascii="Arial" w:hAnsi="Arial" w:cs="Arial"/>
          <w:bCs/>
        </w:rPr>
        <w:t>od 3.500.000,00 kuna odnosi se na rekonstrukciju</w:t>
      </w:r>
      <w:r w:rsidR="00252956">
        <w:rPr>
          <w:rFonts w:ascii="Arial" w:hAnsi="Arial" w:cs="Arial"/>
          <w:bCs/>
        </w:rPr>
        <w:t xml:space="preserve"> (modernizaciju) sustava </w:t>
      </w:r>
      <w:r>
        <w:rPr>
          <w:rFonts w:ascii="Arial" w:hAnsi="Arial" w:cs="Arial"/>
          <w:bCs/>
        </w:rPr>
        <w:t xml:space="preserve"> javne rasvjete Grada Buzeta</w:t>
      </w:r>
      <w:r w:rsidR="00020A73" w:rsidRPr="007035E5">
        <w:rPr>
          <w:rFonts w:ascii="Arial" w:hAnsi="Arial" w:cs="Arial"/>
        </w:rPr>
        <w:t>.</w:t>
      </w:r>
    </w:p>
    <w:p w14:paraId="563222EE" w14:textId="77777777" w:rsidR="004C1FBE" w:rsidRPr="007035E5" w:rsidRDefault="004C1FBE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9A4A73B" w14:textId="24FD1B1F" w:rsidR="00B77788" w:rsidRDefault="00B77788" w:rsidP="000D566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</w:t>
      </w:r>
    </w:p>
    <w:p w14:paraId="4CC08474" w14:textId="46C46DC7" w:rsidR="00654F53" w:rsidRPr="008A76BD" w:rsidRDefault="00B77788" w:rsidP="00B7778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</w:t>
      </w:r>
      <w:r w:rsidR="00654F53" w:rsidRPr="008A76BD">
        <w:rPr>
          <w:rFonts w:ascii="Arial" w:eastAsia="Times New Roman" w:hAnsi="Arial" w:cs="Arial"/>
          <w:lang w:eastAsia="hr-HR"/>
        </w:rPr>
        <w:t>PROČELNICA</w:t>
      </w:r>
    </w:p>
    <w:p w14:paraId="10A645DD" w14:textId="24B9CFAD" w:rsidR="00654F53" w:rsidRPr="008A76BD" w:rsidRDefault="00B77788" w:rsidP="00B77788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</w:t>
      </w:r>
      <w:r w:rsidR="00654F53" w:rsidRPr="008A76BD">
        <w:rPr>
          <w:rFonts w:ascii="Arial" w:eastAsia="Times New Roman" w:hAnsi="Arial" w:cs="Arial"/>
          <w:lang w:eastAsia="hr-HR"/>
        </w:rPr>
        <w:t>Upravnog odjela za financije i gospodarstvo</w:t>
      </w:r>
    </w:p>
    <w:p w14:paraId="55D2DC17" w14:textId="1DB51B76" w:rsidR="00E6531A" w:rsidRPr="00E41ECD" w:rsidRDefault="00B77788" w:rsidP="00B7778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Nives Jakac</w:t>
      </w:r>
    </w:p>
    <w:sectPr w:rsidR="00E6531A" w:rsidRPr="00E41ECD" w:rsidSect="00A75403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B717" w14:textId="77777777" w:rsidR="00362038" w:rsidRDefault="00362038" w:rsidP="000B3945">
      <w:pPr>
        <w:spacing w:after="0" w:line="240" w:lineRule="auto"/>
      </w:pPr>
      <w:r>
        <w:separator/>
      </w:r>
    </w:p>
  </w:endnote>
  <w:endnote w:type="continuationSeparator" w:id="0">
    <w:p w14:paraId="198D8F84" w14:textId="77777777" w:rsidR="00362038" w:rsidRDefault="00362038" w:rsidP="000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618265"/>
      <w:docPartObj>
        <w:docPartGallery w:val="Page Numbers (Bottom of Page)"/>
        <w:docPartUnique/>
      </w:docPartObj>
    </w:sdtPr>
    <w:sdtEndPr/>
    <w:sdtContent>
      <w:p w14:paraId="10F1BFBB" w14:textId="77777777" w:rsidR="004E6E05" w:rsidRDefault="004E6E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93">
          <w:rPr>
            <w:noProof/>
          </w:rPr>
          <w:t>6</w:t>
        </w:r>
        <w:r>
          <w:fldChar w:fldCharType="end"/>
        </w:r>
      </w:p>
    </w:sdtContent>
  </w:sdt>
  <w:p w14:paraId="25553404" w14:textId="77777777" w:rsidR="004E6E05" w:rsidRDefault="004E6E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BD5" w14:textId="77777777" w:rsidR="00362038" w:rsidRDefault="00362038" w:rsidP="000B3945">
      <w:pPr>
        <w:spacing w:after="0" w:line="240" w:lineRule="auto"/>
      </w:pPr>
      <w:r>
        <w:separator/>
      </w:r>
    </w:p>
  </w:footnote>
  <w:footnote w:type="continuationSeparator" w:id="0">
    <w:p w14:paraId="72F18A70" w14:textId="77777777" w:rsidR="00362038" w:rsidRDefault="00362038" w:rsidP="000B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30B"/>
    <w:multiLevelType w:val="hybridMultilevel"/>
    <w:tmpl w:val="887432B8"/>
    <w:lvl w:ilvl="0" w:tplc="7D440D7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62BE5EE9"/>
    <w:multiLevelType w:val="hybridMultilevel"/>
    <w:tmpl w:val="CE32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25C5"/>
    <w:multiLevelType w:val="hybridMultilevel"/>
    <w:tmpl w:val="2782FE5C"/>
    <w:lvl w:ilvl="0" w:tplc="BF2A4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76208">
    <w:abstractNumId w:val="1"/>
  </w:num>
  <w:num w:numId="2" w16cid:durableId="821777182">
    <w:abstractNumId w:val="0"/>
  </w:num>
  <w:num w:numId="3" w16cid:durableId="5527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89"/>
    <w:rsid w:val="000021D2"/>
    <w:rsid w:val="00007FD7"/>
    <w:rsid w:val="00013226"/>
    <w:rsid w:val="00017F68"/>
    <w:rsid w:val="00020A73"/>
    <w:rsid w:val="00044BF2"/>
    <w:rsid w:val="00060B90"/>
    <w:rsid w:val="0006115F"/>
    <w:rsid w:val="00061F56"/>
    <w:rsid w:val="0006504C"/>
    <w:rsid w:val="0007776C"/>
    <w:rsid w:val="00083505"/>
    <w:rsid w:val="00094139"/>
    <w:rsid w:val="000A255B"/>
    <w:rsid w:val="000B0B20"/>
    <w:rsid w:val="000B3945"/>
    <w:rsid w:val="000C282B"/>
    <w:rsid w:val="000C3708"/>
    <w:rsid w:val="000C5632"/>
    <w:rsid w:val="000D18C7"/>
    <w:rsid w:val="000D566F"/>
    <w:rsid w:val="000D6224"/>
    <w:rsid w:val="000D6B12"/>
    <w:rsid w:val="000E411C"/>
    <w:rsid w:val="000E5E71"/>
    <w:rsid w:val="001328CD"/>
    <w:rsid w:val="00146517"/>
    <w:rsid w:val="001560FC"/>
    <w:rsid w:val="001642F1"/>
    <w:rsid w:val="001B38BB"/>
    <w:rsid w:val="001E56AB"/>
    <w:rsid w:val="002050B5"/>
    <w:rsid w:val="00205375"/>
    <w:rsid w:val="0020707C"/>
    <w:rsid w:val="00215BD3"/>
    <w:rsid w:val="002339BB"/>
    <w:rsid w:val="00252956"/>
    <w:rsid w:val="002646F4"/>
    <w:rsid w:val="00267314"/>
    <w:rsid w:val="002817E7"/>
    <w:rsid w:val="00281F50"/>
    <w:rsid w:val="00291ABA"/>
    <w:rsid w:val="00292801"/>
    <w:rsid w:val="002947B1"/>
    <w:rsid w:val="002962A5"/>
    <w:rsid w:val="002A0157"/>
    <w:rsid w:val="002A06B8"/>
    <w:rsid w:val="002A1A71"/>
    <w:rsid w:val="002A4E67"/>
    <w:rsid w:val="002C28FB"/>
    <w:rsid w:val="002C6D2B"/>
    <w:rsid w:val="002C747B"/>
    <w:rsid w:val="002C7ACC"/>
    <w:rsid w:val="002D2A0E"/>
    <w:rsid w:val="002F6F51"/>
    <w:rsid w:val="003060D5"/>
    <w:rsid w:val="00306AEE"/>
    <w:rsid w:val="00314C83"/>
    <w:rsid w:val="0032630A"/>
    <w:rsid w:val="00334259"/>
    <w:rsid w:val="0034548A"/>
    <w:rsid w:val="00356AAE"/>
    <w:rsid w:val="00361689"/>
    <w:rsid w:val="00362038"/>
    <w:rsid w:val="00384ECA"/>
    <w:rsid w:val="00386866"/>
    <w:rsid w:val="00393CAB"/>
    <w:rsid w:val="003A4A37"/>
    <w:rsid w:val="003C5B37"/>
    <w:rsid w:val="003D1B40"/>
    <w:rsid w:val="003D633F"/>
    <w:rsid w:val="003D676A"/>
    <w:rsid w:val="003E3411"/>
    <w:rsid w:val="003E38E8"/>
    <w:rsid w:val="003E51B9"/>
    <w:rsid w:val="003F03C2"/>
    <w:rsid w:val="00406A7F"/>
    <w:rsid w:val="004150F7"/>
    <w:rsid w:val="00433E1F"/>
    <w:rsid w:val="004410AB"/>
    <w:rsid w:val="0045500D"/>
    <w:rsid w:val="004556BF"/>
    <w:rsid w:val="00456BAB"/>
    <w:rsid w:val="004616AE"/>
    <w:rsid w:val="00462B2A"/>
    <w:rsid w:val="00464304"/>
    <w:rsid w:val="00475EA4"/>
    <w:rsid w:val="004775BD"/>
    <w:rsid w:val="00487B12"/>
    <w:rsid w:val="00490318"/>
    <w:rsid w:val="004942CC"/>
    <w:rsid w:val="0049450D"/>
    <w:rsid w:val="0049625B"/>
    <w:rsid w:val="004A1F07"/>
    <w:rsid w:val="004A5AD7"/>
    <w:rsid w:val="004B3506"/>
    <w:rsid w:val="004C0100"/>
    <w:rsid w:val="004C1FBE"/>
    <w:rsid w:val="004C2DB7"/>
    <w:rsid w:val="004C5D97"/>
    <w:rsid w:val="004D4C8D"/>
    <w:rsid w:val="004E196C"/>
    <w:rsid w:val="004E6E05"/>
    <w:rsid w:val="005018B8"/>
    <w:rsid w:val="00502D49"/>
    <w:rsid w:val="005071A6"/>
    <w:rsid w:val="005221B6"/>
    <w:rsid w:val="00537C07"/>
    <w:rsid w:val="0054402C"/>
    <w:rsid w:val="005443A3"/>
    <w:rsid w:val="00545AF5"/>
    <w:rsid w:val="00547003"/>
    <w:rsid w:val="005610D9"/>
    <w:rsid w:val="0056409C"/>
    <w:rsid w:val="00567743"/>
    <w:rsid w:val="00571051"/>
    <w:rsid w:val="0057722E"/>
    <w:rsid w:val="00580216"/>
    <w:rsid w:val="00596403"/>
    <w:rsid w:val="005A60D5"/>
    <w:rsid w:val="005A7E70"/>
    <w:rsid w:val="005C097F"/>
    <w:rsid w:val="005C1008"/>
    <w:rsid w:val="005D2F5F"/>
    <w:rsid w:val="005D58AA"/>
    <w:rsid w:val="005E2CEF"/>
    <w:rsid w:val="005E6C0B"/>
    <w:rsid w:val="005F2385"/>
    <w:rsid w:val="005F49F0"/>
    <w:rsid w:val="006011C9"/>
    <w:rsid w:val="00601DDB"/>
    <w:rsid w:val="00622283"/>
    <w:rsid w:val="0062793E"/>
    <w:rsid w:val="0063754B"/>
    <w:rsid w:val="006407C9"/>
    <w:rsid w:val="00647972"/>
    <w:rsid w:val="00651C2E"/>
    <w:rsid w:val="00653444"/>
    <w:rsid w:val="00654CC4"/>
    <w:rsid w:val="00654F53"/>
    <w:rsid w:val="006558C9"/>
    <w:rsid w:val="00661322"/>
    <w:rsid w:val="00661CD3"/>
    <w:rsid w:val="0066641E"/>
    <w:rsid w:val="00666DCD"/>
    <w:rsid w:val="0067012C"/>
    <w:rsid w:val="00692D04"/>
    <w:rsid w:val="006B6C5E"/>
    <w:rsid w:val="006D5C22"/>
    <w:rsid w:val="006E7879"/>
    <w:rsid w:val="00701397"/>
    <w:rsid w:val="00701C57"/>
    <w:rsid w:val="007035E5"/>
    <w:rsid w:val="00714C00"/>
    <w:rsid w:val="007158D4"/>
    <w:rsid w:val="00715C01"/>
    <w:rsid w:val="0072611B"/>
    <w:rsid w:val="00745389"/>
    <w:rsid w:val="00762DAD"/>
    <w:rsid w:val="00774BEE"/>
    <w:rsid w:val="00775A1A"/>
    <w:rsid w:val="00780057"/>
    <w:rsid w:val="007932B6"/>
    <w:rsid w:val="007B389D"/>
    <w:rsid w:val="007B66CD"/>
    <w:rsid w:val="007E7698"/>
    <w:rsid w:val="007F51B0"/>
    <w:rsid w:val="0080371E"/>
    <w:rsid w:val="00805FFA"/>
    <w:rsid w:val="008111E3"/>
    <w:rsid w:val="008178F3"/>
    <w:rsid w:val="008254D7"/>
    <w:rsid w:val="0083414E"/>
    <w:rsid w:val="008371B6"/>
    <w:rsid w:val="00844AA7"/>
    <w:rsid w:val="00854D93"/>
    <w:rsid w:val="008575A2"/>
    <w:rsid w:val="00860E36"/>
    <w:rsid w:val="0087226E"/>
    <w:rsid w:val="008820EF"/>
    <w:rsid w:val="00885332"/>
    <w:rsid w:val="00887BCC"/>
    <w:rsid w:val="00890839"/>
    <w:rsid w:val="00894BD0"/>
    <w:rsid w:val="008A76BD"/>
    <w:rsid w:val="008B5E61"/>
    <w:rsid w:val="008B7CCC"/>
    <w:rsid w:val="008C598D"/>
    <w:rsid w:val="008C5AA3"/>
    <w:rsid w:val="008D189C"/>
    <w:rsid w:val="008D2E16"/>
    <w:rsid w:val="008E1A7B"/>
    <w:rsid w:val="008F551D"/>
    <w:rsid w:val="008F79C1"/>
    <w:rsid w:val="00902AD9"/>
    <w:rsid w:val="00902F0B"/>
    <w:rsid w:val="009155F4"/>
    <w:rsid w:val="00920A2E"/>
    <w:rsid w:val="0092678F"/>
    <w:rsid w:val="0093145D"/>
    <w:rsid w:val="00950723"/>
    <w:rsid w:val="009522FB"/>
    <w:rsid w:val="00954EB2"/>
    <w:rsid w:val="00962465"/>
    <w:rsid w:val="00964510"/>
    <w:rsid w:val="00976566"/>
    <w:rsid w:val="00983FAF"/>
    <w:rsid w:val="009945BD"/>
    <w:rsid w:val="0099470B"/>
    <w:rsid w:val="009B2C02"/>
    <w:rsid w:val="009B7AA5"/>
    <w:rsid w:val="009D0F25"/>
    <w:rsid w:val="009D1A57"/>
    <w:rsid w:val="009E1AC5"/>
    <w:rsid w:val="009F4167"/>
    <w:rsid w:val="009F5BBC"/>
    <w:rsid w:val="00A13F7F"/>
    <w:rsid w:val="00A25684"/>
    <w:rsid w:val="00A3436A"/>
    <w:rsid w:val="00A37966"/>
    <w:rsid w:val="00A425CF"/>
    <w:rsid w:val="00A672F8"/>
    <w:rsid w:val="00A75403"/>
    <w:rsid w:val="00A94C20"/>
    <w:rsid w:val="00AB1CC6"/>
    <w:rsid w:val="00AB35F5"/>
    <w:rsid w:val="00AB5F87"/>
    <w:rsid w:val="00AB789B"/>
    <w:rsid w:val="00AC7BE3"/>
    <w:rsid w:val="00AD2B1A"/>
    <w:rsid w:val="00AE2403"/>
    <w:rsid w:val="00AE3793"/>
    <w:rsid w:val="00AE47DA"/>
    <w:rsid w:val="00AF0467"/>
    <w:rsid w:val="00B1090F"/>
    <w:rsid w:val="00B11878"/>
    <w:rsid w:val="00B2047A"/>
    <w:rsid w:val="00B25F5C"/>
    <w:rsid w:val="00B30755"/>
    <w:rsid w:val="00B346F1"/>
    <w:rsid w:val="00B35A2E"/>
    <w:rsid w:val="00B37CA3"/>
    <w:rsid w:val="00B47C95"/>
    <w:rsid w:val="00B62A6C"/>
    <w:rsid w:val="00B6379C"/>
    <w:rsid w:val="00B64644"/>
    <w:rsid w:val="00B77788"/>
    <w:rsid w:val="00B77D38"/>
    <w:rsid w:val="00B80273"/>
    <w:rsid w:val="00B87088"/>
    <w:rsid w:val="00B96E38"/>
    <w:rsid w:val="00B971D8"/>
    <w:rsid w:val="00BA23E3"/>
    <w:rsid w:val="00BA794E"/>
    <w:rsid w:val="00BB145A"/>
    <w:rsid w:val="00BB1DB5"/>
    <w:rsid w:val="00BB3F82"/>
    <w:rsid w:val="00BC0921"/>
    <w:rsid w:val="00BD78FB"/>
    <w:rsid w:val="00BE3D92"/>
    <w:rsid w:val="00BF62D1"/>
    <w:rsid w:val="00BF641C"/>
    <w:rsid w:val="00C05DF3"/>
    <w:rsid w:val="00C23A44"/>
    <w:rsid w:val="00C53FFC"/>
    <w:rsid w:val="00C9321B"/>
    <w:rsid w:val="00C96D99"/>
    <w:rsid w:val="00CB18AF"/>
    <w:rsid w:val="00CB581B"/>
    <w:rsid w:val="00CB668C"/>
    <w:rsid w:val="00CC7BE5"/>
    <w:rsid w:val="00CD7578"/>
    <w:rsid w:val="00CF09EC"/>
    <w:rsid w:val="00D032D3"/>
    <w:rsid w:val="00D057A6"/>
    <w:rsid w:val="00D06975"/>
    <w:rsid w:val="00D20F4A"/>
    <w:rsid w:val="00D2596A"/>
    <w:rsid w:val="00D34674"/>
    <w:rsid w:val="00D53CF8"/>
    <w:rsid w:val="00D578F7"/>
    <w:rsid w:val="00D57E24"/>
    <w:rsid w:val="00D62CB4"/>
    <w:rsid w:val="00D660D6"/>
    <w:rsid w:val="00D7055E"/>
    <w:rsid w:val="00D726F3"/>
    <w:rsid w:val="00D73F3F"/>
    <w:rsid w:val="00DC2A73"/>
    <w:rsid w:val="00DC7CCC"/>
    <w:rsid w:val="00DD03B4"/>
    <w:rsid w:val="00DD573D"/>
    <w:rsid w:val="00DE1127"/>
    <w:rsid w:val="00DE5F11"/>
    <w:rsid w:val="00DF5C61"/>
    <w:rsid w:val="00E0033A"/>
    <w:rsid w:val="00E00921"/>
    <w:rsid w:val="00E04AEF"/>
    <w:rsid w:val="00E06610"/>
    <w:rsid w:val="00E1033D"/>
    <w:rsid w:val="00E125D9"/>
    <w:rsid w:val="00E126CF"/>
    <w:rsid w:val="00E22A8A"/>
    <w:rsid w:val="00E24DA2"/>
    <w:rsid w:val="00E34289"/>
    <w:rsid w:val="00E41ECD"/>
    <w:rsid w:val="00E4212F"/>
    <w:rsid w:val="00E45737"/>
    <w:rsid w:val="00E460B2"/>
    <w:rsid w:val="00E47EA3"/>
    <w:rsid w:val="00E557EE"/>
    <w:rsid w:val="00E6102A"/>
    <w:rsid w:val="00E6531A"/>
    <w:rsid w:val="00E90656"/>
    <w:rsid w:val="00E9359C"/>
    <w:rsid w:val="00E95EB2"/>
    <w:rsid w:val="00E97804"/>
    <w:rsid w:val="00EB5BA6"/>
    <w:rsid w:val="00EB6598"/>
    <w:rsid w:val="00EB67B2"/>
    <w:rsid w:val="00ED33CD"/>
    <w:rsid w:val="00ED50D6"/>
    <w:rsid w:val="00EE10BF"/>
    <w:rsid w:val="00EE4E2D"/>
    <w:rsid w:val="00EE6B11"/>
    <w:rsid w:val="00EF1642"/>
    <w:rsid w:val="00EF4F1E"/>
    <w:rsid w:val="00F12F57"/>
    <w:rsid w:val="00F14AE8"/>
    <w:rsid w:val="00F25072"/>
    <w:rsid w:val="00F26F9E"/>
    <w:rsid w:val="00F36279"/>
    <w:rsid w:val="00F37BEA"/>
    <w:rsid w:val="00F6141E"/>
    <w:rsid w:val="00F76E5B"/>
    <w:rsid w:val="00F82E8F"/>
    <w:rsid w:val="00F91C51"/>
    <w:rsid w:val="00FC30CC"/>
    <w:rsid w:val="00FC5429"/>
    <w:rsid w:val="00FC747B"/>
    <w:rsid w:val="00FF06FF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C0BB"/>
  <w15:docId w15:val="{B05940E3-6F50-4030-A882-13676E8F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945"/>
  </w:style>
  <w:style w:type="paragraph" w:styleId="Podnoje">
    <w:name w:val="footer"/>
    <w:basedOn w:val="Normal"/>
    <w:link w:val="Podno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945"/>
  </w:style>
  <w:style w:type="paragraph" w:styleId="Tekstbalonia">
    <w:name w:val="Balloon Text"/>
    <w:basedOn w:val="Normal"/>
    <w:link w:val="TekstbaloniaChar"/>
    <w:uiPriority w:val="99"/>
    <w:semiHidden/>
    <w:unhideWhenUsed/>
    <w:rsid w:val="009D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A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B240-373C-4CB7-ABD0-B810581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Nives Jakac</cp:lastModifiedBy>
  <cp:revision>20</cp:revision>
  <cp:lastPrinted>2021-03-03T11:34:00Z</cp:lastPrinted>
  <dcterms:created xsi:type="dcterms:W3CDTF">2022-05-22T21:17:00Z</dcterms:created>
  <dcterms:modified xsi:type="dcterms:W3CDTF">2022-06-01T16:38:00Z</dcterms:modified>
</cp:coreProperties>
</file>