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7a7adcbf7d455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36241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BUZET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6.521.072,09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7.511.234,66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5.695.943,03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6.277.486,56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825.129,06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1.233.748,10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286.887,56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1.542.763,24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1.491.933,71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1.255.875,68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1.343.104,92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1.019.056,13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118.219,84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22.586,11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1.449.802,75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86.770,71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w:t>
            </w:r>
          </w:p>
        </w:tc>
      </w:tr>
    </w:tbl>
    <w:p>
      <w:pPr>
        <w:spacing w:before="0" w:after="0"/>
      </w:pPr>
    </w:p>
    <w:p>
      <w:r>
        <w:t xml:space="preserve">Ukupni prihodi i primici ostvareni su u iznosu od 7.800.869,40 EUR – do povećanja od 14,6% u odnosu na prošlu godinu najvećim je dijelom utjecalo ostvarenje poreza na dohodak koji su veći za 558.670,82 EUR, te pomoći iz inozemstva i od subjekata unutar općeg proračuna koje su ostvarene za 283.112,28 EUR više nego prošle godine (kapitalna pomoći za projekt Uređenje atletske staze gradskog stadiona u iznosu 300.000,00 EUR), te prihodi od imovine koje su za 55.472,74 EUR veće od prošle godine (nastale uslijed prodaje zemljišta), te ostvarenje prihoda od komunalnog doprinosa za 66.010,00 EUR ili 105% više u odnosu na prošlu godinu. </w:t>
      </w:r>
    </w:p>
    <w:p>
      <w:r>
        <w:t xml:space="preserve">Sve navedeno značajno je utjecalo na ostvarenje većih prihoda u odnosu na rashode.</w:t>
      </w:r>
    </w:p>
    <w:p>
      <w:r>
        <w:t xml:space="preserve">Najveći rast rashoda odnosi se na povećanje plaća (promjena osnovice od 12% za proračunske korisnike) i usklađenje plaća Javne vatrogasne postrojbe s uredbom o visini dodataka na osnovni koeficijent za radna mjesta profesionalnih vatrogasaca i usklađenje koeficijenata za plaće za odgajatelje u dječjem vrtiću Grdelin Buzet. </w:t>
      </w:r>
    </w:p>
    <w:p>
      <w:r>
        <w:t xml:space="preserve">Rashodi za dodatna ulaganja na nefinancijskoj imovini - rashodi se odnose na novi projekt "Energetska obnova sportske dvorane".</w:t>
      </w:r>
    </w:p>
    <w:p>
      <w:r>
        <w:t xml:space="preserve">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Računi u ukupnom iznosu od 1.462,12 EUR plaćeni su 08.01.2026., a ostatak u iznosu od 3.469,49 plaćeno je 12.01.2026.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Projekt „More than a village“ je projekt financiran iz Europskog fonda za regionalni razvoj (EFRR),  odobren je unutar 1. poziva programa Interreg CENTRAL EUROPE. Vrijednost projekta iznosi 1.713.934 EUR, udio Grada Buzeta je 197.812,00 EUR. Projekt traje 36 mjeseci; započeo je u travnju 2023. godine, i završava u ožujku 2026. godine. Izvještaji se podnose svakih 6 mjeseci (u travnju i listopadu).</w:t>
      </w:r>
    </w:p>
    <w:p>
      <w:r>
        <w:t xml:space="preserve">U 2024. godini Grad Buzetu isplaćena su 3 tranše prema podnesenim izvještajima, dok su u 2025. godini isplaćene 2 tranše koje se odnose na izvještajno razdoblje od listopada 2024 do ožujka 2025. godine te travnja – rujna 2025. godine</w:t>
      </w:r>
    </w:p>
    <w:p>
      <w:r>
        <w:t xml:space="preserve"> </w:t>
      </w:r>
    </w:p>
    <w:p>
      <w:r>
        <w:t xml:space="preserve">Rashodi se odnose na troškove provedbe pilot akcije i ostalih popratnih aktivnosti te administrativne troškove.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ae5126fd4054e0c" /></Relationships>
</file>