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0e6ac59352c4e3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36241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BUZET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8.128.855,04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8.918.805,69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6.503.786,57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7.173.295,44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1.625.068,47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1.745.510,25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287.393,56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148.828,79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1.623.858,38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1.713.383,09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1.336.464,82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1.564.554,30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140.805,95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140.805,95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1.275.112,60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303.976,67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1.134.306,65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163.170,72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17.785,23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Na ostvareni višak prihoda poslovanja utjecale su sljedeće činjenice:</w:t>
      </w:r>
    </w:p>
    <w:p>
      <w:pPr>
        <w:pStyle w:val="ListParagraph"/>
        <w:numPr>
          <w:ilvl w:val="0"/>
          <w:numId w:val="2"/>
        </w:numPr>
      </w:pPr>
      <w:r>
        <w:t xml:space="preserve">Najvećim je dijelom utjecalo ostvarenje poreza na dohodak u odnosu na ostvarenje za 2024.godine, koji su veći za 558.670,82 EUR, te pomoći iz inozemstva i od subjekata unutar općeg proračuna koje su ostvarene za 283.112,28 EUR više nego prošle godine (kapitalna pomoći za projekt Uređenje atletske staze gradskog stadiona u iznosu 300.000,00 EUR), te prihodi od imovine koje su za 55.472,74 EUR veće od prošle godine (nastale uslijed prodaje zemljišta), te ostvarenje prihoda od komunalnog doprinosa za 66.010,00 EUR ili 105% više u odnosu na prošlu godinu.</w:t>
      </w:r>
    </w:p>
    <w:p>
      <w:pPr>
        <w:pStyle w:val="ListParagraph"/>
        <w:numPr>
          <w:ilvl w:val="1"/>
          <w:numId w:val="2"/>
        </w:numPr>
      </w:pPr>
      <w:r>
        <w:t xml:space="preserve">Sve navedeno značajno je utjecalo na ostvarenje većih prihoda u odnosu na rashode.</w:t>
      </w:r>
    </w:p>
    <w:p>
      <w:pPr>
        <w:pStyle w:val="ListParagraph"/>
        <w:numPr>
          <w:ilvl w:val="0"/>
          <w:numId w:val="2"/>
        </w:numPr>
      </w:pPr>
      <w:r>
        <w:t xml:space="preserve">Najveći rast rashoda odnosi se na povećanje plaća (promjena osnovice od 12% za proračunske korisnike) i usklađenje plaća Javne vatrogasne postrojbe s Uredbom o visini dodataka na osnovni koeficijent za radna mjesta profesionalnih vatrogasaca i usklađenje koeficijenata za plaće za odgajatelje u dječjem vrtiću Grdelin Buzet. </w:t>
      </w:r>
    </w:p>
    <w:p>
      <w:r>
        <w:t xml:space="preserve">Manjak prihoda od nefinancijske imovine rezultirao je značajnijim ulaganjima u imovinu: </w:t>
      </w:r>
    </w:p>
    <w:p>
      <w:pPr>
        <w:pStyle w:val="ListParagraph"/>
        <w:numPr>
          <w:ilvl w:val="0"/>
          <w:numId w:val="3"/>
        </w:numPr>
      </w:pPr>
      <w:r>
        <w:t xml:space="preserve">Rashodi za dodatna ulaganja na nefinancijskoj imovini 7.96.655,54 EUR - najvećim dijelom odnose se na projekt "Energetska obnova sportske dvorane" koji je započeo u drugom polugodištu 2025. </w:t>
      </w:r>
    </w:p>
    <w:p>
      <w:r>
        <w:t xml:space="preserve">Manjak od financijske imovine i zaduživanja rezultat je preuzetih obveza iz prethodnih godina. </w:t>
      </w:r>
    </w:p>
    <w:p>
      <w:pPr>
        <w:pStyle w:val="ListParagraph"/>
        <w:numPr>
          <w:ilvl w:val="0"/>
          <w:numId w:val="4"/>
        </w:numPr>
      </w:pPr>
      <w:r>
        <w:t xml:space="preserve">izdaci se odnose 3 kredita za: </w:t>
      </w:r>
    </w:p>
    <w:p>
      <w:pPr>
        <w:pStyle w:val="ListParagraph"/>
        <w:numPr>
          <w:ilvl w:val="1"/>
          <w:numId w:val="4"/>
        </w:numPr>
      </w:pPr>
      <w:r>
        <w:t xml:space="preserve">rekonstrukciju i dogradnju zgrade vrtića, </w:t>
      </w:r>
    </w:p>
    <w:p>
      <w:pPr>
        <w:pStyle w:val="ListParagraph"/>
        <w:numPr>
          <w:ilvl w:val="1"/>
          <w:numId w:val="4"/>
        </w:numPr>
      </w:pPr>
      <w:r>
        <w:t xml:space="preserve">rekonstrukciju javne rasvjete</w:t>
      </w:r>
    </w:p>
    <w:p>
      <w:pPr>
        <w:pStyle w:val="ListParagraph"/>
        <w:numPr>
          <w:ilvl w:val="1"/>
          <w:numId w:val="4"/>
        </w:numPr>
      </w:pPr>
      <w:r>
        <w:t xml:space="preserve">dogradnju i rekonstrukciju doma za starije </w:t>
      </w:r>
    </w:p>
    <w:p>
      <w:pPr>
        <w:pStyle w:val="ListParagraph"/>
        <w:numPr>
          <w:ilvl w:val="0"/>
          <w:numId w:val="4"/>
        </w:numPr>
      </w:pPr>
      <w:r>
        <w:t xml:space="preserve">primitka se odnosi na povrat kratkoročnog zajma.</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dospijelih obveza na kraju izvještajnog razdoblja odnsi se na:</w:t>
      </w:r>
    </w:p>
    <w:p>
      <w:pPr>
        <w:pStyle w:val="ListParagraph"/>
        <w:numPr>
          <w:ilvl w:val="0"/>
          <w:numId w:val="2"/>
        </w:numPr>
      </w:pPr>
      <w:r>
        <w:t xml:space="preserve">Grad Buzet: Računi u ukupnom iznosu od 1.462,12 EUR plaćeni su 08.01.2026., a ostatak u iznosu od 3.469,49 plaćeno je 12.01.2026.</w:t>
      </w:r>
    </w:p>
    <w:p>
      <w:pPr>
        <w:pStyle w:val="ListParagraph"/>
        <w:numPr>
          <w:ilvl w:val="0"/>
          <w:numId w:val="2"/>
        </w:numPr>
      </w:pPr>
      <w:r>
        <w:t xml:space="preserve">Dom za starije osobe Buzet: Račun u iznosu 569,56 EUR podmiren je nakon dospjeća.</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Unutargrupne transakcije koje su u izvještajima eliminirane</w:t>
      </w:r>
    </w:p>
    <w:p>
      <w:r>
        <w:t xml:space="preserve">U konsolidiranom izvještaju o prihodima i rashodima, primicima i izdacima eliminirani su prijenosi između nadležnog proračuna i proračunskih korisnika za financiranje redovne djelatnosti (podskupina 671/367). </w:t>
      </w:r>
    </w:p>
    <w:p>
      <w:r>
        <w:t xml:space="preserve">Prihodi koje su proračunski korisnici dobili od Grada Buzeta za financiranje redovne djelatnosti evidentirani su na podskupini 671 u izvještajima proračunskih korisnika – razina 21, a rashodi u Gradu za financiranje redovne djelatnosti proračunskih korisnika evidentirani su na podskupini 367 – razina 22.</w:t>
      </w:r>
    </w:p>
    <w:p>
      <w:r>
        <w:t xml:space="preserve">U konsolidiranom izvještaju (razina 23) izvršena je eliminacija računa podskupine 671 i 367 u ukupnom iznosu od 2.831.215,02EUR. </w:t>
      </w:r>
    </w:p>
    <w:p>
      <w:r>
        <w:t xml:space="preserve">U nastavku je dan pregled strukture prijenosa proračunskim korisnicima iz Proračuna Grada Buzeta za financiranje redovne djelatnosti: </w:t>
      </w:r>
    </w:p>
    <w:p>
      <w:pPr>
        <w:pStyle w:val="ListParagraph"/>
        <w:numPr>
          <w:ilvl w:val="0"/>
          <w:numId w:val="2"/>
        </w:numPr>
      </w:pPr>
      <w:r>
        <w:t xml:space="preserve">Dom za starije osobe Buzet - 733.351,88 EUR</w:t>
      </w:r>
    </w:p>
    <w:p>
      <w:pPr>
        <w:pStyle w:val="ListParagraph"/>
        <w:numPr>
          <w:ilvl w:val="0"/>
          <w:numId w:val="2"/>
        </w:numPr>
      </w:pPr>
      <w:r>
        <w:t xml:space="preserve">Pučko otvoreno učilište Augustin Vivoda Buzet - 317.302,35 EUR</w:t>
      </w:r>
    </w:p>
    <w:p>
      <w:pPr>
        <w:pStyle w:val="ListParagraph"/>
        <w:numPr>
          <w:ilvl w:val="0"/>
          <w:numId w:val="2"/>
        </w:numPr>
      </w:pPr>
      <w:r>
        <w:t xml:space="preserve">Javna vatrogasna postrojba Buzet - 791.665,56 EUR </w:t>
      </w:r>
    </w:p>
    <w:p>
      <w:pPr>
        <w:pStyle w:val="ListParagraph"/>
        <w:numPr>
          <w:ilvl w:val="0"/>
          <w:numId w:val="2"/>
        </w:numPr>
      </w:pPr>
      <w:r>
        <w:t xml:space="preserve">Dječji vrtić Grdelin - 988.895,23 EUR</w:t>
      </w:r>
    </w:p>
    <w:p/>
    <w:p>
      <w:pPr>
        <w:jc w:val="center"/>
        <w:pStyle w:val="Normal"/>
        <w:spacing w:line="240" w:lineRule="auto"/>
        <w:keepNext/>
      </w:pPr>
      <w:r>
        <w:rPr>
          <w:sz w:val="28"/>
          <w:rFonts w:ascii="Times New Roman" w:hAnsi="Times New Roman"/>
        </w:rPr>
        <w:t xml:space="preserve">Bilješka 4.</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tbl>
      <w:tblPr>
        <w:tblStyle w:val="TableGrid"/>
        <w:tblW w:w="3805.615" w:type="pct"/>
      </w:tblPr>
      <w:tblGrid>
        <w:gridCol w:w="1370"/>
        <w:gridCol w:w="1370"/>
        <w:gridCol w:w="1370"/>
        <w:gridCol w:w="1370"/>
        <w:gridCol w:w="1370"/>
        <w:gridCol w:w="1388"/>
        <w:gridCol w:w="1389"/>
      </w:tblGrid>
      <w:tr>
        <w:trPr>
          <w:trHeight w:val="1017" w:hRule="atLeast"/>
        </w:trPr>
        <w:tc>
          <w:tcPr>
            <w:tcW w:w="711" w:type="pct"/>
            <w:vAlign w:val="center"/>
          </w:tcPr>
          <w:p>
            <w:pPr>
              <w:keepNext/>
              <w:jc w:val="center"/>
            </w:pPr>
            <w:r>
              <w:t xml:space="preserve"> </w:t>
            </w:r>
          </w:p>
        </w:tc>
        <w:tc>
          <w:tcPr>
            <w:tcW w:w="711" w:type="pct"/>
            <w:vAlign w:val="center"/>
          </w:tcPr>
          <w:p>
            <w:pPr>
              <w:keepNext/>
              <w:jc w:val="center"/>
            </w:pPr>
            <w:r>
              <w:t xml:space="preserve">DOM</w:t>
            </w:r>
          </w:p>
        </w:tc>
        <w:tc>
          <w:tcPr>
            <w:tcW w:w="711" w:type="pct"/>
            <w:vAlign w:val="center"/>
          </w:tcPr>
          <w:p>
            <w:pPr>
              <w:keepNext/>
              <w:jc w:val="center"/>
            </w:pPr>
            <w:r>
              <w:t xml:space="preserve">POU</w:t>
            </w:r>
          </w:p>
        </w:tc>
        <w:tc>
          <w:tcPr>
            <w:tcW w:w="711" w:type="pct"/>
            <w:vAlign w:val="center"/>
          </w:tcPr>
          <w:p>
            <w:pPr>
              <w:keepNext/>
              <w:jc w:val="center"/>
            </w:pPr>
            <w:r>
              <w:t xml:space="preserve">JVP</w:t>
            </w:r>
          </w:p>
        </w:tc>
        <w:tc>
          <w:tcPr>
            <w:tcW w:w="711" w:type="pct"/>
            <w:vAlign w:val="center"/>
          </w:tcPr>
          <w:p>
            <w:pPr>
              <w:keepNext/>
              <w:jc w:val="center"/>
            </w:pPr>
            <w:r>
              <w:t xml:space="preserve">VRTIĆ</w:t>
            </w:r>
          </w:p>
        </w:tc>
        <w:tc>
          <w:tcPr>
            <w:tcW w:w="721" w:type="pct"/>
            <w:vAlign w:val="center"/>
          </w:tcPr>
          <w:p>
            <w:pPr>
              <w:keepNext/>
              <w:jc w:val="center"/>
            </w:pPr>
            <w:r>
              <w:t xml:space="preserve">GRAD BUZET</w:t>
            </w:r>
          </w:p>
        </w:tc>
        <w:tc>
          <w:tcPr>
            <w:tcW w:w="721" w:type="pct"/>
            <w:vAlign w:val="center"/>
          </w:tcPr>
          <w:p>
            <w:pPr>
              <w:keepNext/>
              <w:jc w:val="center"/>
            </w:pPr>
            <w:r>
              <w:t xml:space="preserve">UKUPNO</w:t>
            </w:r>
          </w:p>
        </w:tc>
      </w:tr>
      <w:tr>
        <w:trPr>
          <w:trHeight w:val="1017" w:hRule="atLeast"/>
        </w:trPr>
        <w:tc>
          <w:tcPr>
            <w:tcW w:w="711" w:type="pct"/>
            <w:vAlign w:val="center"/>
          </w:tcPr>
          <w:p>
            <w:pPr>
              <w:keepNext/>
              <w:jc w:val="right"/>
            </w:pPr>
            <w:r>
              <w:t xml:space="preserve">višak preneseni</w:t>
            </w:r>
          </w:p>
        </w:tc>
        <w:tc>
          <w:tcPr>
            <w:tcW w:w="711" w:type="pct"/>
            <w:vAlign w:val="center"/>
          </w:tcPr>
          <w:p>
            <w:pPr>
              <w:keepNext/>
              <w:jc w:val="right"/>
            </w:pPr>
            <w:r>
              <w:t xml:space="preserve">58.418,86</w:t>
            </w:r>
          </w:p>
        </w:tc>
        <w:tc>
          <w:tcPr>
            <w:tcW w:w="711" w:type="pct"/>
            <w:vAlign w:val="center"/>
          </w:tcPr>
          <w:p>
            <w:pPr>
              <w:keepNext/>
              <w:jc w:val="right"/>
            </w:pPr>
            <w:r>
              <w:t xml:space="preserve">648,65</w:t>
            </w:r>
          </w:p>
        </w:tc>
        <w:tc>
          <w:tcPr>
            <w:tcW w:w="711" w:type="pct"/>
            <w:vAlign w:val="center"/>
          </w:tcPr>
          <w:p>
            <w:pPr>
              <w:keepNext/>
              <w:jc w:val="right"/>
            </w:pPr>
            <w:r>
              <w:t xml:space="preserve">16.378,42</w:t>
            </w:r>
          </w:p>
        </w:tc>
        <w:tc>
          <w:tcPr>
            <w:tcW w:w="711" w:type="pct"/>
            <w:vAlign w:val="center"/>
          </w:tcPr>
          <w:p>
            <w:pPr>
              <w:keepNext/>
              <w:jc w:val="right"/>
            </w:pPr>
            <w:r>
              <w:t xml:space="preserve">71.180,77</w:t>
            </w:r>
          </w:p>
        </w:tc>
        <w:tc>
          <w:tcPr>
            <w:tcW w:w="721" w:type="pct"/>
            <w:vAlign w:val="center"/>
          </w:tcPr>
          <w:p>
            <w:pPr>
              <w:keepNext/>
              <w:jc w:val="right"/>
            </w:pPr>
            <w:r>
              <w:t xml:space="preserve">1.441.446,04</w:t>
            </w:r>
          </w:p>
        </w:tc>
        <w:tc>
          <w:tcPr>
            <w:tcW w:w="721" w:type="pct"/>
            <w:vAlign w:val="center"/>
          </w:tcPr>
          <w:p>
            <w:pPr>
              <w:keepNext/>
              <w:jc w:val="right"/>
            </w:pPr>
            <w:r>
              <w:t xml:space="preserve">1.588.072,74</w:t>
            </w:r>
          </w:p>
        </w:tc>
      </w:tr>
      <w:tr>
        <w:trPr>
          <w:trHeight w:val="628" w:hRule="atLeast"/>
        </w:trPr>
        <w:tc>
          <w:tcPr>
            <w:tcW w:w="711" w:type="pct"/>
            <w:vAlign w:val="center"/>
          </w:tcPr>
          <w:p>
            <w:pPr>
              <w:keepNext/>
              <w:jc w:val="right"/>
            </w:pPr>
            <w:r>
              <w:t xml:space="preserve">višak 2025</w:t>
            </w:r>
          </w:p>
        </w:tc>
        <w:tc>
          <w:tcPr>
            <w:tcW w:w="711" w:type="pct"/>
            <w:vAlign w:val="center"/>
          </w:tcPr>
          <w:p>
            <w:pPr>
              <w:keepNext/>
              <w:jc w:val="right"/>
            </w:pPr>
            <w:r>
              <w:t xml:space="preserve">77.450,62</w:t>
            </w:r>
          </w:p>
        </w:tc>
        <w:tc>
          <w:tcPr>
            <w:tcW w:w="711" w:type="pct"/>
            <w:vAlign w:val="center"/>
          </w:tcPr>
          <w:p>
            <w:pPr>
              <w:keepNext/>
              <w:jc w:val="right"/>
            </w:pPr>
            <w:r>
              <w:t xml:space="preserve">2.230,32</w:t>
            </w:r>
          </w:p>
        </w:tc>
        <w:tc>
          <w:tcPr>
            <w:tcW w:w="711" w:type="pct"/>
            <w:vAlign w:val="center"/>
          </w:tcPr>
          <w:p>
            <w:pPr>
              <w:keepNext/>
              <w:jc w:val="right"/>
            </w:pPr>
            <w:r>
              <w:t xml:space="preserve"> </w:t>
            </w:r>
          </w:p>
        </w:tc>
        <w:tc>
          <w:tcPr>
            <w:tcW w:w="711" w:type="pct"/>
            <w:vAlign w:val="center"/>
          </w:tcPr>
          <w:p>
            <w:pPr>
              <w:keepNext/>
              <w:jc w:val="right"/>
            </w:pPr>
            <w:r>
              <w:t xml:space="preserve">30.822,64</w:t>
            </w:r>
          </w:p>
        </w:tc>
        <w:tc>
          <w:tcPr>
            <w:tcW w:w="721" w:type="pct"/>
            <w:vAlign w:val="center"/>
          </w:tcPr>
          <w:p>
            <w:pPr>
              <w:keepNext/>
              <w:jc w:val="right"/>
            </w:pPr>
            <w:r>
              <w:t xml:space="preserve"> </w:t>
            </w:r>
          </w:p>
        </w:tc>
        <w:tc>
          <w:tcPr>
            <w:tcW w:w="721" w:type="pct"/>
            <w:vAlign w:val="center"/>
          </w:tcPr>
          <w:p>
            <w:pPr>
              <w:keepNext/>
              <w:jc w:val="right"/>
            </w:pPr>
            <w:r>
              <w:t xml:space="preserve">110.503,58</w:t>
            </w:r>
          </w:p>
        </w:tc>
      </w:tr>
      <w:tr>
        <w:trPr>
          <w:trHeight w:val="1017" w:hRule="atLeast"/>
        </w:trPr>
        <w:tc>
          <w:tcPr>
            <w:tcW w:w="711" w:type="pct"/>
            <w:vAlign w:val="center"/>
          </w:tcPr>
          <w:p>
            <w:pPr>
              <w:keepNext/>
              <w:jc w:val="right"/>
            </w:pPr>
            <w:r>
              <w:t xml:space="preserve">manjak 2025</w:t>
            </w:r>
          </w:p>
        </w:tc>
        <w:tc>
          <w:tcPr>
            <w:tcW w:w="711" w:type="pct"/>
            <w:vAlign w:val="center"/>
          </w:tcPr>
          <w:p>
            <w:pPr>
              <w:keepNext/>
              <w:jc w:val="right"/>
            </w:pPr>
            <w:r>
              <w:t xml:space="preserve"> </w:t>
            </w:r>
          </w:p>
        </w:tc>
        <w:tc>
          <w:tcPr>
            <w:tcW w:w="711" w:type="pct"/>
            <w:vAlign w:val="center"/>
          </w:tcPr>
          <w:p>
            <w:pPr>
              <w:keepNext/>
              <w:jc w:val="right"/>
            </w:pPr>
            <w:r>
              <w:t xml:space="preserve"> </w:t>
            </w:r>
          </w:p>
        </w:tc>
        <w:tc>
          <w:tcPr>
            <w:tcW w:w="711" w:type="pct"/>
            <w:vAlign w:val="center"/>
          </w:tcPr>
          <w:p>
            <w:pPr>
              <w:keepNext/>
              <w:jc w:val="right"/>
            </w:pPr>
            <w:r>
              <w:t xml:space="preserve">5.947,64</w:t>
            </w:r>
          </w:p>
        </w:tc>
        <w:tc>
          <w:tcPr>
            <w:tcW w:w="711" w:type="pct"/>
            <w:vAlign w:val="center"/>
          </w:tcPr>
          <w:p>
            <w:pPr>
              <w:keepNext/>
              <w:jc w:val="right"/>
            </w:pPr>
            <w:r>
              <w:t xml:space="preserve"> </w:t>
            </w:r>
          </w:p>
        </w:tc>
        <w:tc>
          <w:tcPr>
            <w:tcW w:w="721" w:type="pct"/>
            <w:vAlign w:val="center"/>
          </w:tcPr>
          <w:p>
            <w:pPr>
              <w:keepNext/>
              <w:jc w:val="right"/>
            </w:pPr>
            <w:r>
              <w:t xml:space="preserve">86.770,71</w:t>
            </w:r>
          </w:p>
        </w:tc>
        <w:tc>
          <w:tcPr>
            <w:tcW w:w="721" w:type="pct"/>
            <w:vAlign w:val="center"/>
          </w:tcPr>
          <w:p>
            <w:pPr>
              <w:keepNext/>
              <w:jc w:val="right"/>
            </w:pPr>
            <w:r>
              <w:t xml:space="preserve">92.718,35</w:t>
            </w:r>
          </w:p>
        </w:tc>
      </w:tr>
      <w:tr>
        <w:trPr>
          <w:trHeight w:val="629" w:hRule="atLeast"/>
        </w:trPr>
        <w:tc>
          <w:tcPr>
            <w:tcW w:w="711" w:type="pct"/>
            <w:vAlign w:val="center"/>
          </w:tcPr>
          <w:p>
            <w:pPr>
              <w:keepNext/>
              <w:jc w:val="right"/>
            </w:pPr>
            <w:r>
              <w:t xml:space="preserve">stanje</w:t>
            </w:r>
          </w:p>
        </w:tc>
        <w:tc>
          <w:tcPr>
            <w:tcW w:w="711" w:type="pct"/>
            <w:vAlign w:val="center"/>
          </w:tcPr>
          <w:p>
            <w:pPr>
              <w:keepNext/>
              <w:jc w:val="right"/>
            </w:pPr>
            <w:r>
              <w:t xml:space="preserve">135.869,48</w:t>
            </w:r>
          </w:p>
        </w:tc>
        <w:tc>
          <w:tcPr>
            <w:tcW w:w="711" w:type="pct"/>
            <w:vAlign w:val="center"/>
          </w:tcPr>
          <w:p>
            <w:pPr>
              <w:keepNext/>
              <w:jc w:val="right"/>
            </w:pPr>
            <w:r>
              <w:t xml:space="preserve">2.878,97</w:t>
            </w:r>
          </w:p>
        </w:tc>
        <w:tc>
          <w:tcPr>
            <w:tcW w:w="711" w:type="pct"/>
            <w:vAlign w:val="center"/>
          </w:tcPr>
          <w:p>
            <w:pPr>
              <w:keepNext/>
              <w:jc w:val="right"/>
            </w:pPr>
            <w:r>
              <w:t xml:space="preserve">10.254,23</w:t>
            </w:r>
          </w:p>
        </w:tc>
        <w:tc>
          <w:tcPr>
            <w:tcW w:w="711" w:type="pct"/>
            <w:vAlign w:val="center"/>
          </w:tcPr>
          <w:p>
            <w:pPr>
              <w:keepNext/>
              <w:jc w:val="right"/>
            </w:pPr>
            <w:r>
              <w:t xml:space="preserve">102.003,41</w:t>
            </w:r>
          </w:p>
        </w:tc>
        <w:tc>
          <w:tcPr>
            <w:tcW w:w="721" w:type="pct"/>
            <w:vAlign w:val="center"/>
          </w:tcPr>
          <w:p>
            <w:pPr>
              <w:keepNext/>
              <w:jc w:val="right"/>
            </w:pPr>
            <w:r>
              <w:t xml:space="preserve">1.354.675,33</w:t>
            </w:r>
          </w:p>
        </w:tc>
        <w:tc>
          <w:tcPr>
            <w:tcW w:w="721" w:type="pct"/>
            <w:vAlign w:val="center"/>
          </w:tcPr>
          <w:p>
            <w:pPr>
              <w:keepNext/>
              <w:jc w:val="right"/>
            </w:pPr>
            <w:r>
              <w:t xml:space="preserve">1.605.857,97</w:t>
            </w:r>
          </w:p>
        </w:tc>
      </w:tr>
    </w:tbl>
    <w:p>
      <w:r>
        <w:t xml:space="preserve">U tablici je dan prikaz strukture manjka / viška Grada Buzeta i proračunskih korisnika.</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ea4c22d01c4c08" /><Relationship Type="http://schemas.openxmlformats.org/officeDocument/2006/relationships/numbering" Target="/word/numbering.xml" Id="R1cce5eed36c84e0e" /></Relationships>
</file>