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DE117" w14:textId="77777777" w:rsidR="00334113" w:rsidRDefault="00334113" w:rsidP="00255880">
      <w:pPr>
        <w:rPr>
          <w:rFonts w:ascii="Arial" w:hAnsi="Arial" w:cs="Arial"/>
        </w:rPr>
      </w:pPr>
    </w:p>
    <w:p w14:paraId="61810D17" w14:textId="77777777" w:rsidR="00387896" w:rsidRPr="009D148C" w:rsidRDefault="002673BC" w:rsidP="00255880">
      <w:pPr>
        <w:rPr>
          <w:rFonts w:ascii="Arial" w:hAnsi="Arial" w:cs="Arial"/>
        </w:rPr>
      </w:pPr>
      <w:r w:rsidRPr="009D148C">
        <w:rPr>
          <w:rFonts w:ascii="Arial" w:hAnsi="Arial" w:cs="Arial"/>
          <w:noProof/>
          <w:lang w:eastAsia="hr-HR"/>
        </w:rPr>
        <w:drawing>
          <wp:inline distT="0" distB="0" distL="0" distR="0" wp14:anchorId="1901BF8F" wp14:editId="731E8014">
            <wp:extent cx="771525" cy="8001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00E1D" w14:textId="77777777" w:rsidR="00387896" w:rsidRPr="009D148C" w:rsidRDefault="00387896" w:rsidP="00B5272E">
      <w:pPr>
        <w:spacing w:line="0" w:lineRule="atLeast"/>
        <w:rPr>
          <w:rFonts w:ascii="Arial" w:hAnsi="Arial" w:cs="Arial"/>
          <w:b/>
          <w:bCs/>
        </w:rPr>
      </w:pPr>
      <w:r w:rsidRPr="009D148C">
        <w:rPr>
          <w:rFonts w:ascii="Arial" w:hAnsi="Arial" w:cs="Arial"/>
          <w:b/>
          <w:bCs/>
        </w:rPr>
        <w:t xml:space="preserve">REPUBLIKA HRVATSKA </w:t>
      </w:r>
    </w:p>
    <w:p w14:paraId="648A3172" w14:textId="77777777" w:rsidR="00387896" w:rsidRPr="009D148C" w:rsidRDefault="00387896" w:rsidP="00B5272E">
      <w:pPr>
        <w:spacing w:line="0" w:lineRule="atLeast"/>
        <w:rPr>
          <w:rFonts w:ascii="Arial" w:hAnsi="Arial" w:cs="Arial"/>
          <w:b/>
          <w:bCs/>
        </w:rPr>
      </w:pPr>
      <w:r w:rsidRPr="009D148C">
        <w:rPr>
          <w:rFonts w:ascii="Arial" w:hAnsi="Arial" w:cs="Arial"/>
          <w:b/>
          <w:bCs/>
        </w:rPr>
        <w:t>ISTARSKA ŽUPANIJA</w:t>
      </w:r>
    </w:p>
    <w:p w14:paraId="2497C41F" w14:textId="77777777" w:rsidR="00387896" w:rsidRPr="009D148C" w:rsidRDefault="00387896" w:rsidP="00B5272E">
      <w:pPr>
        <w:spacing w:line="0" w:lineRule="atLeast"/>
        <w:rPr>
          <w:rFonts w:ascii="Arial" w:hAnsi="Arial" w:cs="Arial"/>
          <w:b/>
          <w:bCs/>
        </w:rPr>
      </w:pPr>
      <w:r w:rsidRPr="009D148C">
        <w:rPr>
          <w:rFonts w:ascii="Arial" w:hAnsi="Arial" w:cs="Arial"/>
          <w:b/>
          <w:bCs/>
        </w:rPr>
        <w:t>GRAD BUZET</w:t>
      </w:r>
    </w:p>
    <w:p w14:paraId="6D4BADB4" w14:textId="77777777" w:rsidR="00387896" w:rsidRPr="009D148C" w:rsidRDefault="00387896" w:rsidP="00B5272E">
      <w:pPr>
        <w:pStyle w:val="Naslov1"/>
        <w:spacing w:line="0" w:lineRule="atLeast"/>
        <w:rPr>
          <w:rFonts w:ascii="Arial" w:hAnsi="Arial" w:cs="Arial"/>
          <w:sz w:val="22"/>
          <w:szCs w:val="22"/>
        </w:rPr>
      </w:pPr>
      <w:r w:rsidRPr="009D148C">
        <w:rPr>
          <w:rFonts w:ascii="Arial" w:hAnsi="Arial" w:cs="Arial"/>
          <w:sz w:val="22"/>
          <w:szCs w:val="22"/>
        </w:rPr>
        <w:t xml:space="preserve">Upravni odjel za financije </w:t>
      </w:r>
    </w:p>
    <w:p w14:paraId="0B53C76F" w14:textId="77777777" w:rsidR="00387896" w:rsidRPr="009D148C" w:rsidRDefault="00387896" w:rsidP="00B5272E">
      <w:pPr>
        <w:spacing w:line="0" w:lineRule="atLeast"/>
        <w:rPr>
          <w:rFonts w:ascii="Arial" w:hAnsi="Arial" w:cs="Arial"/>
          <w:b/>
          <w:bCs/>
        </w:rPr>
      </w:pPr>
      <w:r w:rsidRPr="009D148C">
        <w:rPr>
          <w:rFonts w:ascii="Arial" w:hAnsi="Arial" w:cs="Arial"/>
          <w:b/>
          <w:bCs/>
        </w:rPr>
        <w:t>i gospodarstvo</w:t>
      </w:r>
    </w:p>
    <w:p w14:paraId="28169650" w14:textId="6086E7CB" w:rsidR="000B7CBC" w:rsidRPr="00F06EB1" w:rsidRDefault="00C93B67" w:rsidP="00B5272E">
      <w:pPr>
        <w:spacing w:line="0" w:lineRule="atLeast"/>
        <w:rPr>
          <w:rFonts w:ascii="Arial" w:hAnsi="Arial" w:cs="Arial"/>
        </w:rPr>
      </w:pPr>
      <w:r>
        <w:rPr>
          <w:rFonts w:ascii="Arial" w:hAnsi="Arial" w:cs="Arial"/>
        </w:rPr>
        <w:t>Klasa: 400-01/2</w:t>
      </w:r>
      <w:r w:rsidR="00883AB0">
        <w:rPr>
          <w:rFonts w:ascii="Arial" w:hAnsi="Arial" w:cs="Arial"/>
        </w:rPr>
        <w:t>2</w:t>
      </w:r>
      <w:r w:rsidR="00387896" w:rsidRPr="00F06EB1">
        <w:rPr>
          <w:rFonts w:ascii="Arial" w:hAnsi="Arial" w:cs="Arial"/>
        </w:rPr>
        <w:t>-01/</w:t>
      </w:r>
      <w:r w:rsidR="00883AB0">
        <w:rPr>
          <w:rFonts w:ascii="Arial" w:hAnsi="Arial" w:cs="Arial"/>
        </w:rPr>
        <w:t>5</w:t>
      </w:r>
    </w:p>
    <w:p w14:paraId="05913C41" w14:textId="2E6889EC" w:rsidR="00387896" w:rsidRPr="009D148C" w:rsidRDefault="00C93B67" w:rsidP="00B5272E">
      <w:pPr>
        <w:spacing w:line="0" w:lineRule="atLeas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Urbroj</w:t>
      </w:r>
      <w:proofErr w:type="spellEnd"/>
      <w:r>
        <w:rPr>
          <w:rFonts w:ascii="Arial" w:hAnsi="Arial" w:cs="Arial"/>
        </w:rPr>
        <w:t>: 21</w:t>
      </w:r>
      <w:r w:rsidR="00883AB0">
        <w:rPr>
          <w:rFonts w:ascii="Arial" w:hAnsi="Arial" w:cs="Arial"/>
        </w:rPr>
        <w:t>63-3-06-01-22-1</w:t>
      </w:r>
    </w:p>
    <w:p w14:paraId="2FC13E24" w14:textId="43FA4B5B" w:rsidR="00387896" w:rsidRPr="009D148C" w:rsidRDefault="00C93B67" w:rsidP="00B5272E">
      <w:pPr>
        <w:spacing w:line="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Buzet, </w:t>
      </w:r>
      <w:r w:rsidR="00C3679F">
        <w:rPr>
          <w:rFonts w:ascii="Arial" w:hAnsi="Arial" w:cs="Arial"/>
        </w:rPr>
        <w:t>1</w:t>
      </w:r>
      <w:r w:rsidR="00883AB0">
        <w:rPr>
          <w:rFonts w:ascii="Arial" w:hAnsi="Arial" w:cs="Arial"/>
        </w:rPr>
        <w:t>5</w:t>
      </w:r>
      <w:r w:rsidR="00F250FE">
        <w:rPr>
          <w:rFonts w:ascii="Arial" w:hAnsi="Arial" w:cs="Arial"/>
        </w:rPr>
        <w:t>.</w:t>
      </w:r>
      <w:r w:rsidR="00C3679F">
        <w:rPr>
          <w:rFonts w:ascii="Arial" w:hAnsi="Arial" w:cs="Arial"/>
        </w:rPr>
        <w:t xml:space="preserve"> </w:t>
      </w:r>
      <w:r w:rsidR="00F250FE">
        <w:rPr>
          <w:rFonts w:ascii="Arial" w:hAnsi="Arial" w:cs="Arial"/>
        </w:rPr>
        <w:t>veljače 202</w:t>
      </w:r>
      <w:r w:rsidR="00883AB0">
        <w:rPr>
          <w:rFonts w:ascii="Arial" w:hAnsi="Arial" w:cs="Arial"/>
        </w:rPr>
        <w:t>2</w:t>
      </w:r>
      <w:r w:rsidR="00F250FE">
        <w:rPr>
          <w:rFonts w:ascii="Arial" w:hAnsi="Arial" w:cs="Arial"/>
        </w:rPr>
        <w:t>.</w:t>
      </w:r>
    </w:p>
    <w:p w14:paraId="2379AB38" w14:textId="77777777" w:rsidR="00387896" w:rsidRPr="009D148C" w:rsidRDefault="00387896" w:rsidP="00B5272E">
      <w:pPr>
        <w:spacing w:line="160" w:lineRule="atLeast"/>
        <w:rPr>
          <w:rFonts w:ascii="Arial" w:hAnsi="Arial" w:cs="Arial"/>
        </w:rPr>
      </w:pPr>
    </w:p>
    <w:p w14:paraId="0DAA4968" w14:textId="77777777" w:rsidR="00387896" w:rsidRPr="009D148C" w:rsidRDefault="00387896" w:rsidP="00255880">
      <w:pPr>
        <w:spacing w:line="240" w:lineRule="auto"/>
        <w:rPr>
          <w:rFonts w:ascii="Arial" w:hAnsi="Arial" w:cs="Arial"/>
          <w:b/>
          <w:bCs/>
        </w:rPr>
      </w:pPr>
      <w:r w:rsidRPr="009D148C">
        <w:rPr>
          <w:rFonts w:ascii="Arial" w:hAnsi="Arial" w:cs="Arial"/>
          <w:b/>
          <w:bCs/>
        </w:rPr>
        <w:t>JLS – GRAD BUZET</w:t>
      </w: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  <w:t>Razina: 22, Razdjel: 000</w:t>
      </w:r>
    </w:p>
    <w:p w14:paraId="58CEC7E3" w14:textId="77777777" w:rsidR="00387896" w:rsidRPr="009D148C" w:rsidRDefault="00387896" w:rsidP="00255880">
      <w:pPr>
        <w:spacing w:line="240" w:lineRule="auto"/>
        <w:rPr>
          <w:rFonts w:ascii="Arial" w:hAnsi="Arial" w:cs="Arial"/>
          <w:b/>
          <w:bCs/>
        </w:rPr>
      </w:pP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  <w:t>Matični broj: 02545853</w:t>
      </w:r>
    </w:p>
    <w:p w14:paraId="0FD736A5" w14:textId="77777777" w:rsidR="00387896" w:rsidRPr="009D148C" w:rsidRDefault="00387896" w:rsidP="00255880">
      <w:pPr>
        <w:spacing w:line="240" w:lineRule="auto"/>
        <w:rPr>
          <w:rFonts w:ascii="Arial" w:hAnsi="Arial" w:cs="Arial"/>
          <w:b/>
          <w:bCs/>
        </w:rPr>
      </w:pP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  <w:t>RKP: 36241</w:t>
      </w:r>
    </w:p>
    <w:p w14:paraId="4E580FFD" w14:textId="77777777" w:rsidR="00387896" w:rsidRPr="009D148C" w:rsidRDefault="00387896" w:rsidP="00255880">
      <w:pPr>
        <w:spacing w:line="240" w:lineRule="auto"/>
        <w:rPr>
          <w:rFonts w:ascii="Arial" w:hAnsi="Arial" w:cs="Arial"/>
          <w:b/>
          <w:bCs/>
        </w:rPr>
      </w:pP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  <w:t>Djelatnost: 8411</w:t>
      </w:r>
    </w:p>
    <w:p w14:paraId="236A31A8" w14:textId="77777777" w:rsidR="00387896" w:rsidRPr="009D148C" w:rsidRDefault="00387896" w:rsidP="00255880">
      <w:pPr>
        <w:pStyle w:val="Naslov1"/>
        <w:rPr>
          <w:rFonts w:ascii="Arial" w:hAnsi="Arial" w:cs="Arial"/>
          <w:sz w:val="22"/>
          <w:szCs w:val="22"/>
        </w:rPr>
      </w:pPr>
      <w:r w:rsidRPr="009D148C">
        <w:rPr>
          <w:rFonts w:ascii="Arial" w:hAnsi="Arial" w:cs="Arial"/>
          <w:sz w:val="22"/>
          <w:szCs w:val="22"/>
        </w:rPr>
        <w:tab/>
      </w:r>
      <w:r w:rsidRPr="009D148C">
        <w:rPr>
          <w:rFonts w:ascii="Arial" w:hAnsi="Arial" w:cs="Arial"/>
          <w:sz w:val="22"/>
          <w:szCs w:val="22"/>
        </w:rPr>
        <w:tab/>
      </w:r>
      <w:r w:rsidRPr="009D148C">
        <w:rPr>
          <w:rFonts w:ascii="Arial" w:hAnsi="Arial" w:cs="Arial"/>
          <w:sz w:val="22"/>
          <w:szCs w:val="22"/>
        </w:rPr>
        <w:tab/>
      </w:r>
      <w:r w:rsidRPr="009D148C">
        <w:rPr>
          <w:rFonts w:ascii="Arial" w:hAnsi="Arial" w:cs="Arial"/>
          <w:sz w:val="22"/>
          <w:szCs w:val="22"/>
        </w:rPr>
        <w:tab/>
      </w:r>
      <w:r w:rsidRPr="009D148C">
        <w:rPr>
          <w:rFonts w:ascii="Arial" w:hAnsi="Arial" w:cs="Arial"/>
          <w:sz w:val="22"/>
          <w:szCs w:val="22"/>
        </w:rPr>
        <w:tab/>
      </w:r>
      <w:r w:rsidRPr="009D148C">
        <w:rPr>
          <w:rFonts w:ascii="Arial" w:hAnsi="Arial" w:cs="Arial"/>
          <w:sz w:val="22"/>
          <w:szCs w:val="22"/>
        </w:rPr>
        <w:tab/>
      </w:r>
      <w:r w:rsidR="009711AE" w:rsidRPr="009D148C">
        <w:rPr>
          <w:rFonts w:ascii="Arial" w:hAnsi="Arial" w:cs="Arial"/>
          <w:sz w:val="22"/>
          <w:szCs w:val="22"/>
        </w:rPr>
        <w:tab/>
        <w:t>OIB:77489969256</w:t>
      </w:r>
    </w:p>
    <w:p w14:paraId="3BFFBE37" w14:textId="77777777" w:rsidR="00387896" w:rsidRPr="009D148C" w:rsidRDefault="00387896" w:rsidP="00255880">
      <w:pPr>
        <w:pStyle w:val="Naslov3"/>
        <w:shd w:val="clear" w:color="auto" w:fill="C0C0C0"/>
        <w:spacing w:before="75" w:after="75"/>
        <w:ind w:left="75" w:right="75"/>
        <w:jc w:val="center"/>
      </w:pPr>
      <w:r w:rsidRPr="009D148C">
        <w:t xml:space="preserve">IBAN: HR3424020061804300005 </w:t>
      </w:r>
    </w:p>
    <w:p w14:paraId="5D31290F" w14:textId="77777777" w:rsidR="00387896" w:rsidRPr="009D148C" w:rsidRDefault="00387896" w:rsidP="00255880">
      <w:pPr>
        <w:rPr>
          <w:rFonts w:ascii="Arial" w:hAnsi="Arial" w:cs="Arial"/>
        </w:rPr>
      </w:pPr>
    </w:p>
    <w:p w14:paraId="4200FF90" w14:textId="77777777" w:rsidR="00387896" w:rsidRPr="009D148C" w:rsidRDefault="00387896" w:rsidP="00255880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9D148C">
        <w:rPr>
          <w:rFonts w:ascii="Arial" w:hAnsi="Arial" w:cs="Arial"/>
          <w:b/>
          <w:bCs/>
          <w:sz w:val="36"/>
          <w:szCs w:val="36"/>
        </w:rPr>
        <w:t>BILJEŠKE</w:t>
      </w:r>
    </w:p>
    <w:p w14:paraId="3B590C5B" w14:textId="01C0C538" w:rsidR="00387896" w:rsidRPr="009D148C" w:rsidRDefault="00387896" w:rsidP="005943E5">
      <w:pPr>
        <w:jc w:val="center"/>
        <w:rPr>
          <w:rFonts w:ascii="Arial" w:hAnsi="Arial" w:cs="Arial"/>
          <w:b/>
          <w:bCs/>
        </w:rPr>
      </w:pPr>
      <w:r w:rsidRPr="009D148C">
        <w:rPr>
          <w:rFonts w:ascii="Arial" w:hAnsi="Arial" w:cs="Arial"/>
          <w:b/>
          <w:bCs/>
        </w:rPr>
        <w:t>za</w:t>
      </w:r>
      <w:r w:rsidR="009711AE" w:rsidRPr="009D148C">
        <w:rPr>
          <w:rFonts w:ascii="Arial" w:hAnsi="Arial" w:cs="Arial"/>
          <w:b/>
          <w:bCs/>
        </w:rPr>
        <w:t xml:space="preserve"> razdoblje od 01. siječnja do 31. prosinca</w:t>
      </w:r>
      <w:r w:rsidR="00726EEC">
        <w:rPr>
          <w:rFonts w:ascii="Arial" w:hAnsi="Arial" w:cs="Arial"/>
          <w:b/>
          <w:bCs/>
        </w:rPr>
        <w:t xml:space="preserve">  20</w:t>
      </w:r>
      <w:r w:rsidR="00F250FE">
        <w:rPr>
          <w:rFonts w:ascii="Arial" w:hAnsi="Arial" w:cs="Arial"/>
          <w:b/>
          <w:bCs/>
        </w:rPr>
        <w:t>2</w:t>
      </w:r>
      <w:r w:rsidR="00883AB0">
        <w:rPr>
          <w:rFonts w:ascii="Arial" w:hAnsi="Arial" w:cs="Arial"/>
          <w:b/>
          <w:bCs/>
        </w:rPr>
        <w:t>1</w:t>
      </w:r>
      <w:r w:rsidRPr="009D148C">
        <w:rPr>
          <w:rFonts w:ascii="Arial" w:hAnsi="Arial" w:cs="Arial"/>
          <w:b/>
          <w:bCs/>
        </w:rPr>
        <w:t>. godine</w:t>
      </w:r>
    </w:p>
    <w:p w14:paraId="623BDF1D" w14:textId="413084C6" w:rsidR="00387896" w:rsidRPr="009D148C" w:rsidRDefault="00387896" w:rsidP="005943E5">
      <w:pPr>
        <w:jc w:val="center"/>
        <w:rPr>
          <w:rFonts w:ascii="Arial" w:hAnsi="Arial" w:cs="Arial"/>
          <w:b/>
          <w:sz w:val="24"/>
          <w:szCs w:val="24"/>
        </w:rPr>
      </w:pPr>
      <w:r w:rsidRPr="009D148C">
        <w:rPr>
          <w:rFonts w:ascii="Arial" w:hAnsi="Arial" w:cs="Arial"/>
          <w:b/>
          <w:sz w:val="24"/>
          <w:szCs w:val="24"/>
        </w:rPr>
        <w:t xml:space="preserve">OBRAZLOŽENJE UZ </w:t>
      </w:r>
      <w:r w:rsidR="00E03262">
        <w:rPr>
          <w:rFonts w:ascii="Arial" w:hAnsi="Arial" w:cs="Arial"/>
          <w:b/>
          <w:sz w:val="24"/>
          <w:szCs w:val="24"/>
        </w:rPr>
        <w:t xml:space="preserve">FINANCIJSKE </w:t>
      </w:r>
      <w:r w:rsidRPr="009D148C">
        <w:rPr>
          <w:rFonts w:ascii="Arial" w:hAnsi="Arial" w:cs="Arial"/>
          <w:b/>
          <w:sz w:val="24"/>
          <w:szCs w:val="24"/>
        </w:rPr>
        <w:t xml:space="preserve"> IZVJEŠTAJ</w:t>
      </w:r>
      <w:r w:rsidR="00E03262">
        <w:rPr>
          <w:rFonts w:ascii="Arial" w:hAnsi="Arial" w:cs="Arial"/>
          <w:b/>
          <w:sz w:val="24"/>
          <w:szCs w:val="24"/>
        </w:rPr>
        <w:t>E</w:t>
      </w:r>
      <w:r w:rsidRPr="009D148C">
        <w:rPr>
          <w:rFonts w:ascii="Arial" w:hAnsi="Arial" w:cs="Arial"/>
          <w:b/>
          <w:sz w:val="24"/>
          <w:szCs w:val="24"/>
        </w:rPr>
        <w:t xml:space="preserve"> </w:t>
      </w:r>
      <w:r w:rsidR="00273B75">
        <w:rPr>
          <w:rFonts w:ascii="Arial" w:hAnsi="Arial" w:cs="Arial"/>
          <w:b/>
          <w:sz w:val="24"/>
          <w:szCs w:val="24"/>
        </w:rPr>
        <w:t>PRORAČUNA GRADA BUZETA ZA 20</w:t>
      </w:r>
      <w:r w:rsidR="00F250FE">
        <w:rPr>
          <w:rFonts w:ascii="Arial" w:hAnsi="Arial" w:cs="Arial"/>
          <w:b/>
          <w:sz w:val="24"/>
          <w:szCs w:val="24"/>
        </w:rPr>
        <w:t>2</w:t>
      </w:r>
      <w:r w:rsidR="00883AB0">
        <w:rPr>
          <w:rFonts w:ascii="Arial" w:hAnsi="Arial" w:cs="Arial"/>
          <w:b/>
          <w:sz w:val="24"/>
          <w:szCs w:val="24"/>
        </w:rPr>
        <w:t>1</w:t>
      </w:r>
      <w:r w:rsidRPr="009D148C">
        <w:rPr>
          <w:rFonts w:ascii="Arial" w:hAnsi="Arial" w:cs="Arial"/>
          <w:b/>
          <w:sz w:val="24"/>
          <w:szCs w:val="24"/>
        </w:rPr>
        <w:t>.</w:t>
      </w:r>
      <w:r w:rsidR="004D535B" w:rsidRPr="009D148C">
        <w:rPr>
          <w:rFonts w:ascii="Arial" w:hAnsi="Arial" w:cs="Arial"/>
          <w:b/>
          <w:sz w:val="24"/>
          <w:szCs w:val="24"/>
        </w:rPr>
        <w:t xml:space="preserve"> </w:t>
      </w:r>
      <w:r w:rsidRPr="009D148C">
        <w:rPr>
          <w:rFonts w:ascii="Arial" w:hAnsi="Arial" w:cs="Arial"/>
          <w:b/>
          <w:sz w:val="24"/>
          <w:szCs w:val="24"/>
        </w:rPr>
        <w:t>GODINU</w:t>
      </w:r>
    </w:p>
    <w:p w14:paraId="2DEB567E" w14:textId="77777777" w:rsidR="00387896" w:rsidRPr="009D148C" w:rsidRDefault="00387896" w:rsidP="005943E5">
      <w:pPr>
        <w:jc w:val="both"/>
        <w:rPr>
          <w:rFonts w:ascii="Arial" w:hAnsi="Arial" w:cs="Arial"/>
          <w:b/>
        </w:rPr>
      </w:pPr>
      <w:r w:rsidRPr="009D148C">
        <w:rPr>
          <w:rFonts w:ascii="Arial" w:hAnsi="Arial" w:cs="Arial"/>
          <w:b/>
        </w:rPr>
        <w:t>I OPĆI DIO</w:t>
      </w:r>
    </w:p>
    <w:p w14:paraId="3861FC63" w14:textId="214AD453" w:rsidR="00387896" w:rsidRPr="009D148C" w:rsidRDefault="00387896" w:rsidP="005943E5">
      <w:pPr>
        <w:jc w:val="both"/>
        <w:rPr>
          <w:rFonts w:ascii="Arial" w:hAnsi="Arial" w:cs="Arial"/>
        </w:rPr>
      </w:pPr>
      <w:r w:rsidRPr="009D148C">
        <w:rPr>
          <w:rFonts w:ascii="Arial" w:hAnsi="Arial" w:cs="Arial"/>
        </w:rPr>
        <w:t>Zakonom o proračunu (Narodne novine br.</w:t>
      </w:r>
      <w:r w:rsidR="00E56FBA">
        <w:rPr>
          <w:rFonts w:ascii="Arial" w:hAnsi="Arial" w:cs="Arial"/>
        </w:rPr>
        <w:t>144/21.</w:t>
      </w:r>
      <w:r w:rsidR="00A407C1" w:rsidRPr="009D148C">
        <w:rPr>
          <w:rFonts w:ascii="Arial" w:hAnsi="Arial" w:cs="Arial"/>
        </w:rPr>
        <w:t>)</w:t>
      </w:r>
      <w:r w:rsidR="00E664D2">
        <w:rPr>
          <w:rFonts w:ascii="Arial" w:hAnsi="Arial" w:cs="Arial"/>
        </w:rPr>
        <w:t xml:space="preserve"> i Pravilnikom</w:t>
      </w:r>
      <w:r w:rsidRPr="009D148C">
        <w:rPr>
          <w:rFonts w:ascii="Arial" w:hAnsi="Arial" w:cs="Arial"/>
        </w:rPr>
        <w:t xml:space="preserve"> o </w:t>
      </w:r>
      <w:r w:rsidR="00A407C1" w:rsidRPr="009D148C">
        <w:rPr>
          <w:rFonts w:ascii="Arial" w:hAnsi="Arial" w:cs="Arial"/>
        </w:rPr>
        <w:t>financijskom izvještavanju u proračunskom računovodstvu (Narodne novine, broj 3/15.</w:t>
      </w:r>
      <w:r w:rsidR="0081726C">
        <w:rPr>
          <w:rFonts w:ascii="Arial" w:hAnsi="Arial" w:cs="Arial"/>
        </w:rPr>
        <w:t>, 93/15., 135/15., 2/17</w:t>
      </w:r>
      <w:r w:rsidR="0087797D">
        <w:rPr>
          <w:rFonts w:ascii="Arial" w:hAnsi="Arial" w:cs="Arial"/>
        </w:rPr>
        <w:t xml:space="preserve">., </w:t>
      </w:r>
      <w:r w:rsidR="0081726C" w:rsidRPr="0087797D">
        <w:rPr>
          <w:rFonts w:ascii="Arial" w:hAnsi="Arial" w:cs="Arial"/>
        </w:rPr>
        <w:t>28/17.</w:t>
      </w:r>
      <w:r w:rsidR="00DF41E8">
        <w:rPr>
          <w:rFonts w:ascii="Arial" w:hAnsi="Arial" w:cs="Arial"/>
        </w:rPr>
        <w:t>,</w:t>
      </w:r>
      <w:r w:rsidR="0087797D">
        <w:rPr>
          <w:rFonts w:ascii="Arial" w:hAnsi="Arial" w:cs="Arial"/>
        </w:rPr>
        <w:t xml:space="preserve"> 112/18</w:t>
      </w:r>
      <w:r w:rsidR="001F7F7D">
        <w:rPr>
          <w:rFonts w:ascii="Arial" w:hAnsi="Arial" w:cs="Arial"/>
        </w:rPr>
        <w:t xml:space="preserve">, </w:t>
      </w:r>
      <w:r w:rsidR="00DF41E8">
        <w:rPr>
          <w:rFonts w:ascii="Arial" w:hAnsi="Arial" w:cs="Arial"/>
        </w:rPr>
        <w:t>126/19</w:t>
      </w:r>
      <w:r w:rsidR="001F7F7D">
        <w:rPr>
          <w:rFonts w:ascii="Arial" w:hAnsi="Arial" w:cs="Arial"/>
        </w:rPr>
        <w:t>, 145/20 i 32/21</w:t>
      </w:r>
      <w:r w:rsidR="0081726C" w:rsidRPr="0087797D">
        <w:rPr>
          <w:rFonts w:ascii="Arial" w:hAnsi="Arial" w:cs="Arial"/>
        </w:rPr>
        <w:t>)</w:t>
      </w:r>
      <w:r w:rsidR="00A407C1" w:rsidRPr="0087797D">
        <w:rPr>
          <w:rFonts w:ascii="Arial" w:hAnsi="Arial" w:cs="Arial"/>
        </w:rPr>
        <w:t xml:space="preserve"> </w:t>
      </w:r>
      <w:r w:rsidRPr="0087797D">
        <w:rPr>
          <w:rFonts w:ascii="Arial" w:hAnsi="Arial" w:cs="Arial"/>
        </w:rPr>
        <w:t>propisana</w:t>
      </w:r>
      <w:r w:rsidRPr="009D148C">
        <w:rPr>
          <w:rFonts w:ascii="Arial" w:hAnsi="Arial" w:cs="Arial"/>
        </w:rPr>
        <w:t xml:space="preserve"> je obveza sastavl</w:t>
      </w:r>
      <w:r w:rsidR="00295945">
        <w:rPr>
          <w:rFonts w:ascii="Arial" w:hAnsi="Arial" w:cs="Arial"/>
        </w:rPr>
        <w:t xml:space="preserve">janja i podnošenja godišnjeg financijskog </w:t>
      </w:r>
      <w:r w:rsidRPr="009D148C">
        <w:rPr>
          <w:rFonts w:ascii="Arial" w:hAnsi="Arial" w:cs="Arial"/>
        </w:rPr>
        <w:t xml:space="preserve"> izvještaja o izvršenju proračuna tekuće proračunske godine na donošenje predstavničkom tijelu jedinice lokalne i područne (regionalne) samouprave.</w:t>
      </w:r>
    </w:p>
    <w:p w14:paraId="51FACFB6" w14:textId="187E97B3" w:rsidR="00387896" w:rsidRDefault="00387896" w:rsidP="005943E5">
      <w:pPr>
        <w:jc w:val="both"/>
        <w:rPr>
          <w:rFonts w:ascii="Arial" w:hAnsi="Arial" w:cs="Arial"/>
        </w:rPr>
      </w:pPr>
      <w:r w:rsidRPr="009D148C">
        <w:rPr>
          <w:rFonts w:ascii="Arial" w:hAnsi="Arial" w:cs="Arial"/>
        </w:rPr>
        <w:t>Financiranje ja</w:t>
      </w:r>
      <w:r w:rsidR="009711AE" w:rsidRPr="009D148C">
        <w:rPr>
          <w:rFonts w:ascii="Arial" w:hAnsi="Arial" w:cs="Arial"/>
        </w:rPr>
        <w:t xml:space="preserve">vnih rashoda u </w:t>
      </w:r>
      <w:r w:rsidR="00E50189">
        <w:rPr>
          <w:rFonts w:ascii="Arial" w:hAnsi="Arial" w:cs="Arial"/>
        </w:rPr>
        <w:t xml:space="preserve"> 20</w:t>
      </w:r>
      <w:r w:rsidR="00F250FE">
        <w:rPr>
          <w:rFonts w:ascii="Arial" w:hAnsi="Arial" w:cs="Arial"/>
        </w:rPr>
        <w:t>2</w:t>
      </w:r>
      <w:r w:rsidR="001F7F7D">
        <w:rPr>
          <w:rFonts w:ascii="Arial" w:hAnsi="Arial" w:cs="Arial"/>
        </w:rPr>
        <w:t>1</w:t>
      </w:r>
      <w:r w:rsidRPr="009D148C">
        <w:rPr>
          <w:rFonts w:ascii="Arial" w:hAnsi="Arial" w:cs="Arial"/>
        </w:rPr>
        <w:t>.</w:t>
      </w:r>
      <w:r w:rsidR="00001202" w:rsidRPr="009D148C">
        <w:rPr>
          <w:rFonts w:ascii="Arial" w:hAnsi="Arial" w:cs="Arial"/>
        </w:rPr>
        <w:t xml:space="preserve"> </w:t>
      </w:r>
      <w:r w:rsidRPr="009D148C">
        <w:rPr>
          <w:rFonts w:ascii="Arial" w:hAnsi="Arial" w:cs="Arial"/>
        </w:rPr>
        <w:t xml:space="preserve">godine izvršeno je temeljem Proračuna Grada Buzeta </w:t>
      </w:r>
      <w:r w:rsidR="003C3E25" w:rsidRPr="009D148C">
        <w:rPr>
          <w:rFonts w:ascii="Arial" w:hAnsi="Arial" w:cs="Arial"/>
        </w:rPr>
        <w:t xml:space="preserve"> (''Službene novine Grada Buzeta'', broj </w:t>
      </w:r>
      <w:r w:rsidR="00F250FE">
        <w:rPr>
          <w:rFonts w:ascii="Arial" w:hAnsi="Arial" w:cs="Arial"/>
        </w:rPr>
        <w:t>1</w:t>
      </w:r>
      <w:r w:rsidR="00DD6CA8">
        <w:rPr>
          <w:rFonts w:ascii="Arial" w:hAnsi="Arial" w:cs="Arial"/>
        </w:rPr>
        <w:t>4/20</w:t>
      </w:r>
      <w:r w:rsidR="00075D74">
        <w:rPr>
          <w:rFonts w:ascii="Arial" w:hAnsi="Arial" w:cs="Arial"/>
        </w:rPr>
        <w:t xml:space="preserve">., </w:t>
      </w:r>
      <w:r w:rsidR="00DD6CA8">
        <w:rPr>
          <w:rFonts w:ascii="Arial" w:hAnsi="Arial" w:cs="Arial"/>
        </w:rPr>
        <w:t>2/21</w:t>
      </w:r>
      <w:r w:rsidR="00A64707">
        <w:rPr>
          <w:rFonts w:ascii="Arial" w:hAnsi="Arial" w:cs="Arial"/>
        </w:rPr>
        <w:t xml:space="preserve">., </w:t>
      </w:r>
      <w:r w:rsidR="00DD6CA8">
        <w:rPr>
          <w:rFonts w:ascii="Arial" w:hAnsi="Arial" w:cs="Arial"/>
        </w:rPr>
        <w:t>6/1</w:t>
      </w:r>
      <w:r w:rsidR="004833BD">
        <w:rPr>
          <w:rFonts w:ascii="Arial" w:hAnsi="Arial" w:cs="Arial"/>
        </w:rPr>
        <w:t>.</w:t>
      </w:r>
      <w:r w:rsidR="00F250FE">
        <w:rPr>
          <w:rFonts w:ascii="Arial" w:hAnsi="Arial" w:cs="Arial"/>
        </w:rPr>
        <w:t>, 1</w:t>
      </w:r>
      <w:r w:rsidR="00DD6CA8">
        <w:rPr>
          <w:rFonts w:ascii="Arial" w:hAnsi="Arial" w:cs="Arial"/>
        </w:rPr>
        <w:t>0</w:t>
      </w:r>
      <w:r w:rsidR="00F250FE">
        <w:rPr>
          <w:rFonts w:ascii="Arial" w:hAnsi="Arial" w:cs="Arial"/>
        </w:rPr>
        <w:t>/2</w:t>
      </w:r>
      <w:r w:rsidR="00DD6CA8">
        <w:rPr>
          <w:rFonts w:ascii="Arial" w:hAnsi="Arial" w:cs="Arial"/>
        </w:rPr>
        <w:t>1</w:t>
      </w:r>
      <w:r w:rsidR="00A64707">
        <w:rPr>
          <w:rFonts w:ascii="Arial" w:hAnsi="Arial" w:cs="Arial"/>
        </w:rPr>
        <w:t>.).</w:t>
      </w:r>
    </w:p>
    <w:p w14:paraId="1DFF47DF" w14:textId="27BAD3DA" w:rsidR="00FD381B" w:rsidRPr="009D148C" w:rsidRDefault="00FD381B" w:rsidP="005943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Iz godišnjih financijskih izvješća razine 22</w:t>
      </w:r>
      <w:r w:rsidR="001F7F7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izuzeti su prihodi četiri proračunska korisnika (Dom za starije osobe, Dječji vrtić, Pučko otvoreno učilište i Javna vatrogasna postrojba) te 11 Mjesnih odbora.</w:t>
      </w:r>
    </w:p>
    <w:p w14:paraId="6574E5D0" w14:textId="6A7F7502" w:rsidR="00387896" w:rsidRPr="00934EA2" w:rsidRDefault="00387896" w:rsidP="005943E5">
      <w:pPr>
        <w:jc w:val="both"/>
        <w:rPr>
          <w:rFonts w:ascii="Arial" w:hAnsi="Arial" w:cs="Arial"/>
        </w:rPr>
      </w:pPr>
      <w:r w:rsidRPr="008B7671">
        <w:rPr>
          <w:rFonts w:ascii="Arial" w:hAnsi="Arial" w:cs="Arial"/>
        </w:rPr>
        <w:lastRenderedPageBreak/>
        <w:t xml:space="preserve">Ukupni prihodi </w:t>
      </w:r>
      <w:r w:rsidR="0070606C" w:rsidRPr="008B7671">
        <w:rPr>
          <w:rFonts w:ascii="Arial" w:hAnsi="Arial" w:cs="Arial"/>
        </w:rPr>
        <w:t xml:space="preserve">i primici </w:t>
      </w:r>
      <w:r w:rsidRPr="008B7671">
        <w:rPr>
          <w:rFonts w:ascii="Arial" w:hAnsi="Arial" w:cs="Arial"/>
        </w:rPr>
        <w:t xml:space="preserve">u </w:t>
      </w:r>
      <w:r w:rsidR="000D364F" w:rsidRPr="008B7671">
        <w:rPr>
          <w:rFonts w:ascii="Arial" w:hAnsi="Arial" w:cs="Arial"/>
        </w:rPr>
        <w:t>20</w:t>
      </w:r>
      <w:r w:rsidR="00F250FE">
        <w:rPr>
          <w:rFonts w:ascii="Arial" w:hAnsi="Arial" w:cs="Arial"/>
        </w:rPr>
        <w:t>2</w:t>
      </w:r>
      <w:r w:rsidR="00DD6CA8">
        <w:rPr>
          <w:rFonts w:ascii="Arial" w:hAnsi="Arial" w:cs="Arial"/>
        </w:rPr>
        <w:t>1</w:t>
      </w:r>
      <w:r w:rsidR="00AD6114" w:rsidRPr="008B7671">
        <w:rPr>
          <w:rFonts w:ascii="Arial" w:hAnsi="Arial" w:cs="Arial"/>
        </w:rPr>
        <w:t>.</w:t>
      </w:r>
      <w:r w:rsidR="00820862" w:rsidRPr="008B7671">
        <w:rPr>
          <w:rFonts w:ascii="Arial" w:hAnsi="Arial" w:cs="Arial"/>
        </w:rPr>
        <w:t xml:space="preserve"> </w:t>
      </w:r>
      <w:r w:rsidR="00AD6114" w:rsidRPr="008B7671">
        <w:rPr>
          <w:rFonts w:ascii="Arial" w:hAnsi="Arial" w:cs="Arial"/>
        </w:rPr>
        <w:t>godini</w:t>
      </w:r>
      <w:r w:rsidRPr="008B7671">
        <w:rPr>
          <w:rFonts w:ascii="Arial" w:hAnsi="Arial" w:cs="Arial"/>
        </w:rPr>
        <w:t xml:space="preserve"> ostvareni su u</w:t>
      </w:r>
      <w:r w:rsidR="00342999" w:rsidRPr="008B7671">
        <w:rPr>
          <w:rFonts w:ascii="Arial" w:hAnsi="Arial" w:cs="Arial"/>
        </w:rPr>
        <w:t xml:space="preserve"> </w:t>
      </w:r>
      <w:r w:rsidR="001138F4" w:rsidRPr="008B7671">
        <w:rPr>
          <w:rFonts w:ascii="Arial" w:hAnsi="Arial" w:cs="Arial"/>
        </w:rPr>
        <w:t>iznosu od</w:t>
      </w:r>
      <w:r w:rsidR="000D364F" w:rsidRPr="008B7671">
        <w:rPr>
          <w:rFonts w:ascii="Arial" w:hAnsi="Arial" w:cs="Arial"/>
        </w:rPr>
        <w:t xml:space="preserve"> </w:t>
      </w:r>
      <w:r w:rsidR="007C34F7">
        <w:rPr>
          <w:rFonts w:ascii="Arial" w:hAnsi="Arial" w:cs="Arial"/>
        </w:rPr>
        <w:t>33.794.373</w:t>
      </w:r>
      <w:r w:rsidR="005B293C" w:rsidRPr="00934EA2">
        <w:rPr>
          <w:rFonts w:ascii="Arial" w:hAnsi="Arial" w:cs="Arial"/>
        </w:rPr>
        <w:t>,00</w:t>
      </w:r>
      <w:r w:rsidR="00FD381B" w:rsidRPr="00934EA2">
        <w:rPr>
          <w:rFonts w:ascii="Arial" w:hAnsi="Arial" w:cs="Arial"/>
        </w:rPr>
        <w:t xml:space="preserve"> kuna</w:t>
      </w:r>
      <w:r w:rsidR="004F4F62">
        <w:rPr>
          <w:rFonts w:ascii="Arial" w:hAnsi="Arial" w:cs="Arial"/>
        </w:rPr>
        <w:t xml:space="preserve"> i manji su u odnosu na razdoblje 2020</w:t>
      </w:r>
      <w:r w:rsidRPr="00934EA2">
        <w:rPr>
          <w:rFonts w:ascii="Arial" w:hAnsi="Arial" w:cs="Arial"/>
        </w:rPr>
        <w:t>.</w:t>
      </w:r>
      <w:r w:rsidR="001138F4" w:rsidRPr="00934EA2">
        <w:rPr>
          <w:rFonts w:ascii="Arial" w:hAnsi="Arial" w:cs="Arial"/>
        </w:rPr>
        <w:t xml:space="preserve"> </w:t>
      </w:r>
      <w:r w:rsidR="000D364F" w:rsidRPr="00934EA2">
        <w:rPr>
          <w:rFonts w:ascii="Arial" w:hAnsi="Arial" w:cs="Arial"/>
        </w:rPr>
        <w:t xml:space="preserve">godine </w:t>
      </w:r>
      <w:r w:rsidR="004F4F62">
        <w:rPr>
          <w:rFonts w:ascii="Arial" w:hAnsi="Arial" w:cs="Arial"/>
        </w:rPr>
        <w:t>za 16,44%</w:t>
      </w:r>
      <w:r w:rsidR="0070606C" w:rsidRPr="00934EA2">
        <w:rPr>
          <w:rFonts w:ascii="Arial" w:hAnsi="Arial" w:cs="Arial"/>
        </w:rPr>
        <w:t>.</w:t>
      </w:r>
      <w:r w:rsidR="005D4091" w:rsidRPr="00934EA2">
        <w:rPr>
          <w:rFonts w:ascii="Arial" w:hAnsi="Arial" w:cs="Arial"/>
        </w:rPr>
        <w:t xml:space="preserve"> </w:t>
      </w:r>
      <w:r w:rsidR="004F4F62">
        <w:rPr>
          <w:rFonts w:ascii="Arial" w:hAnsi="Arial" w:cs="Arial"/>
        </w:rPr>
        <w:t xml:space="preserve">Manji </w:t>
      </w:r>
      <w:r w:rsidR="005D4091" w:rsidRPr="00934EA2">
        <w:rPr>
          <w:rFonts w:ascii="Arial" w:hAnsi="Arial" w:cs="Arial"/>
        </w:rPr>
        <w:t>prihod</w:t>
      </w:r>
      <w:r w:rsidR="004F4F62">
        <w:rPr>
          <w:rFonts w:ascii="Arial" w:hAnsi="Arial" w:cs="Arial"/>
        </w:rPr>
        <w:t>i</w:t>
      </w:r>
      <w:r w:rsidR="005D4091" w:rsidRPr="00934EA2">
        <w:rPr>
          <w:rFonts w:ascii="Arial" w:hAnsi="Arial" w:cs="Arial"/>
        </w:rPr>
        <w:t xml:space="preserve"> i primi</w:t>
      </w:r>
      <w:r w:rsidR="004F4F62">
        <w:rPr>
          <w:rFonts w:ascii="Arial" w:hAnsi="Arial" w:cs="Arial"/>
        </w:rPr>
        <w:t>ci</w:t>
      </w:r>
      <w:r w:rsidR="0070606C" w:rsidRPr="00934EA2">
        <w:rPr>
          <w:rFonts w:ascii="Arial" w:hAnsi="Arial" w:cs="Arial"/>
        </w:rPr>
        <w:t xml:space="preserve"> </w:t>
      </w:r>
      <w:r w:rsidR="005D4091" w:rsidRPr="00934EA2">
        <w:rPr>
          <w:rFonts w:ascii="Arial" w:hAnsi="Arial" w:cs="Arial"/>
        </w:rPr>
        <w:t xml:space="preserve">u navedenom postotku ponajviše </w:t>
      </w:r>
      <w:r w:rsidR="004F4F62">
        <w:rPr>
          <w:rFonts w:ascii="Arial" w:hAnsi="Arial" w:cs="Arial"/>
        </w:rPr>
        <w:t xml:space="preserve">se odnose na </w:t>
      </w:r>
      <w:r w:rsidR="005D4091" w:rsidRPr="00934EA2">
        <w:rPr>
          <w:rFonts w:ascii="Arial" w:hAnsi="Arial" w:cs="Arial"/>
        </w:rPr>
        <w:t>primitk</w:t>
      </w:r>
      <w:r w:rsidR="004F4F62">
        <w:rPr>
          <w:rFonts w:ascii="Arial" w:hAnsi="Arial" w:cs="Arial"/>
        </w:rPr>
        <w:t>e</w:t>
      </w:r>
      <w:r w:rsidR="005D4091" w:rsidRPr="00934EA2">
        <w:rPr>
          <w:rFonts w:ascii="Arial" w:hAnsi="Arial" w:cs="Arial"/>
        </w:rPr>
        <w:t xml:space="preserve"> od dugoročnog kreditnog  zaduženj</w:t>
      </w:r>
      <w:r w:rsidR="0051187D">
        <w:rPr>
          <w:rFonts w:ascii="Arial" w:hAnsi="Arial" w:cs="Arial"/>
        </w:rPr>
        <w:t>a</w:t>
      </w:r>
      <w:r w:rsidR="005D4091" w:rsidRPr="00934EA2">
        <w:rPr>
          <w:rFonts w:ascii="Arial" w:hAnsi="Arial" w:cs="Arial"/>
        </w:rPr>
        <w:t xml:space="preserve"> u iznosu od 5.225.000,00 kuna</w:t>
      </w:r>
      <w:r w:rsidR="004F4F62">
        <w:rPr>
          <w:rFonts w:ascii="Arial" w:hAnsi="Arial" w:cs="Arial"/>
        </w:rPr>
        <w:t xml:space="preserve"> ostvarenog u 2020. godini.</w:t>
      </w:r>
      <w:r w:rsidR="005D4091" w:rsidRPr="00934EA2">
        <w:rPr>
          <w:rFonts w:ascii="Arial" w:hAnsi="Arial" w:cs="Arial"/>
        </w:rPr>
        <w:t xml:space="preserve"> </w:t>
      </w:r>
      <w:r w:rsidRPr="00934EA2">
        <w:rPr>
          <w:rFonts w:ascii="Arial" w:hAnsi="Arial" w:cs="Arial"/>
        </w:rPr>
        <w:t xml:space="preserve">Ukupni rashodi </w:t>
      </w:r>
      <w:r w:rsidR="008B7671" w:rsidRPr="00934EA2">
        <w:rPr>
          <w:rFonts w:ascii="Arial" w:hAnsi="Arial" w:cs="Arial"/>
        </w:rPr>
        <w:t xml:space="preserve"> u </w:t>
      </w:r>
      <w:r w:rsidR="00FE11E6">
        <w:rPr>
          <w:rFonts w:ascii="Arial" w:hAnsi="Arial" w:cs="Arial"/>
        </w:rPr>
        <w:t>iznosu 32.052.583,</w:t>
      </w:r>
      <w:r w:rsidR="008B7671" w:rsidRPr="00934EA2">
        <w:rPr>
          <w:rFonts w:ascii="Arial" w:hAnsi="Arial" w:cs="Arial"/>
        </w:rPr>
        <w:t>00</w:t>
      </w:r>
      <w:r w:rsidR="00A14BCD" w:rsidRPr="00934EA2">
        <w:rPr>
          <w:rFonts w:ascii="Arial" w:hAnsi="Arial" w:cs="Arial"/>
        </w:rPr>
        <w:t xml:space="preserve"> kun</w:t>
      </w:r>
      <w:r w:rsidR="00FE11E6">
        <w:rPr>
          <w:rFonts w:ascii="Arial" w:hAnsi="Arial" w:cs="Arial"/>
        </w:rPr>
        <w:t>e</w:t>
      </w:r>
      <w:r w:rsidR="00A14BCD" w:rsidRPr="00934EA2">
        <w:rPr>
          <w:rFonts w:ascii="Arial" w:hAnsi="Arial" w:cs="Arial"/>
        </w:rPr>
        <w:t xml:space="preserve"> </w:t>
      </w:r>
      <w:r w:rsidR="00FE11E6">
        <w:rPr>
          <w:rFonts w:ascii="Arial" w:hAnsi="Arial" w:cs="Arial"/>
        </w:rPr>
        <w:t xml:space="preserve">manji u za 23,49% u odnosu na isto razdoblje prethodne godine, u kojoj je bio realiziran projekt </w:t>
      </w:r>
      <w:r w:rsidR="005D4091" w:rsidRPr="00934EA2">
        <w:rPr>
          <w:rFonts w:ascii="Arial" w:hAnsi="Arial" w:cs="Arial"/>
        </w:rPr>
        <w:t xml:space="preserve"> dogradnje i rekonstrukcije Dječjeg vrtića Grdelin sa pristupnom prometnicom.</w:t>
      </w:r>
    </w:p>
    <w:p w14:paraId="50A1586B" w14:textId="0FA99507" w:rsidR="00387896" w:rsidRPr="00934EA2" w:rsidRDefault="00342999" w:rsidP="0010708A">
      <w:pPr>
        <w:jc w:val="both"/>
        <w:rPr>
          <w:rFonts w:ascii="Arial" w:hAnsi="Arial" w:cs="Arial"/>
        </w:rPr>
      </w:pPr>
      <w:r w:rsidRPr="00934EA2">
        <w:rPr>
          <w:rFonts w:ascii="Arial" w:hAnsi="Arial" w:cs="Arial"/>
        </w:rPr>
        <w:t xml:space="preserve">U  </w:t>
      </w:r>
      <w:r w:rsidR="00FE11E6">
        <w:rPr>
          <w:rFonts w:ascii="Arial" w:hAnsi="Arial" w:cs="Arial"/>
        </w:rPr>
        <w:t>2021. godini ostvareni su ukupni prihodi i primici</w:t>
      </w:r>
      <w:r w:rsidR="00387896" w:rsidRPr="00934EA2">
        <w:rPr>
          <w:rFonts w:ascii="Arial" w:hAnsi="Arial" w:cs="Arial"/>
        </w:rPr>
        <w:t xml:space="preserve"> </w:t>
      </w:r>
      <w:r w:rsidR="00FE11E6">
        <w:rPr>
          <w:rFonts w:ascii="Arial" w:hAnsi="Arial" w:cs="Arial"/>
        </w:rPr>
        <w:t xml:space="preserve">u </w:t>
      </w:r>
      <w:r w:rsidR="00387896" w:rsidRPr="00934EA2">
        <w:rPr>
          <w:rFonts w:ascii="Arial" w:hAnsi="Arial" w:cs="Arial"/>
        </w:rPr>
        <w:t>iznosu</w:t>
      </w:r>
      <w:r w:rsidR="007D24FC" w:rsidRPr="00934EA2">
        <w:rPr>
          <w:rFonts w:ascii="Arial" w:hAnsi="Arial" w:cs="Arial"/>
        </w:rPr>
        <w:t xml:space="preserve"> </w:t>
      </w:r>
      <w:r w:rsidR="00FE11E6">
        <w:rPr>
          <w:rFonts w:ascii="Arial" w:hAnsi="Arial" w:cs="Arial"/>
        </w:rPr>
        <w:t>37.512.</w:t>
      </w:r>
      <w:r w:rsidR="00250CF2">
        <w:rPr>
          <w:rFonts w:ascii="Arial" w:hAnsi="Arial" w:cs="Arial"/>
        </w:rPr>
        <w:t>769</w:t>
      </w:r>
      <w:r w:rsidR="00ED6AC9" w:rsidRPr="00934EA2">
        <w:rPr>
          <w:rFonts w:ascii="Arial" w:hAnsi="Arial" w:cs="Arial"/>
        </w:rPr>
        <w:t xml:space="preserve">,00 </w:t>
      </w:r>
      <w:r w:rsidR="00387896" w:rsidRPr="00934EA2">
        <w:rPr>
          <w:rFonts w:ascii="Arial" w:hAnsi="Arial" w:cs="Arial"/>
        </w:rPr>
        <w:t>k</w:t>
      </w:r>
      <w:r w:rsidR="00ED6AC9" w:rsidRPr="00934EA2">
        <w:rPr>
          <w:rFonts w:ascii="Arial" w:hAnsi="Arial" w:cs="Arial"/>
        </w:rPr>
        <w:t>una sa viškom prihoda iz 20</w:t>
      </w:r>
      <w:r w:rsidR="00250CF2">
        <w:rPr>
          <w:rFonts w:ascii="Arial" w:hAnsi="Arial" w:cs="Arial"/>
        </w:rPr>
        <w:t>20</w:t>
      </w:r>
      <w:r w:rsidR="007D24FC" w:rsidRPr="00934EA2">
        <w:rPr>
          <w:rFonts w:ascii="Arial" w:hAnsi="Arial" w:cs="Arial"/>
        </w:rPr>
        <w:t>. g</w:t>
      </w:r>
      <w:r w:rsidR="00387896" w:rsidRPr="00934EA2">
        <w:rPr>
          <w:rFonts w:ascii="Arial" w:hAnsi="Arial" w:cs="Arial"/>
        </w:rPr>
        <w:t xml:space="preserve">odine, a ukupni </w:t>
      </w:r>
      <w:r w:rsidR="006D738F" w:rsidRPr="00934EA2">
        <w:rPr>
          <w:rFonts w:ascii="Arial" w:hAnsi="Arial" w:cs="Arial"/>
        </w:rPr>
        <w:t>r</w:t>
      </w:r>
      <w:r w:rsidR="0070606C" w:rsidRPr="00934EA2">
        <w:rPr>
          <w:rFonts w:ascii="Arial" w:hAnsi="Arial" w:cs="Arial"/>
        </w:rPr>
        <w:t>ashodi u iznosu od</w:t>
      </w:r>
      <w:r w:rsidR="00704495" w:rsidRPr="00934EA2">
        <w:rPr>
          <w:rFonts w:ascii="Arial" w:hAnsi="Arial" w:cs="Arial"/>
        </w:rPr>
        <w:t xml:space="preserve"> </w:t>
      </w:r>
      <w:r w:rsidR="00250CF2">
        <w:rPr>
          <w:rFonts w:ascii="Arial" w:hAnsi="Arial" w:cs="Arial"/>
        </w:rPr>
        <w:t>32.052.583</w:t>
      </w:r>
      <w:r w:rsidR="00934EA2" w:rsidRPr="00934EA2">
        <w:rPr>
          <w:rFonts w:ascii="Arial" w:hAnsi="Arial" w:cs="Arial"/>
        </w:rPr>
        <w:t>,00</w:t>
      </w:r>
      <w:r w:rsidR="00ED6AC9" w:rsidRPr="00934EA2">
        <w:rPr>
          <w:rFonts w:ascii="Arial" w:hAnsi="Arial" w:cs="Arial"/>
        </w:rPr>
        <w:t xml:space="preserve"> </w:t>
      </w:r>
      <w:r w:rsidR="006D738F" w:rsidRPr="00934EA2">
        <w:rPr>
          <w:rFonts w:ascii="Arial" w:hAnsi="Arial" w:cs="Arial"/>
        </w:rPr>
        <w:t>kun</w:t>
      </w:r>
      <w:r w:rsidR="00250CF2">
        <w:rPr>
          <w:rFonts w:ascii="Arial" w:hAnsi="Arial" w:cs="Arial"/>
        </w:rPr>
        <w:t>e</w:t>
      </w:r>
      <w:r w:rsidR="00387896" w:rsidRPr="00934EA2">
        <w:rPr>
          <w:rFonts w:ascii="Arial" w:hAnsi="Arial" w:cs="Arial"/>
        </w:rPr>
        <w:t>, iz čega slijedi da je Grad Buzet ostvario  ukupno</w:t>
      </w:r>
      <w:r w:rsidR="007D24FC" w:rsidRPr="00934EA2">
        <w:rPr>
          <w:rFonts w:ascii="Arial" w:hAnsi="Arial" w:cs="Arial"/>
        </w:rPr>
        <w:t xml:space="preserve"> </w:t>
      </w:r>
      <w:r w:rsidR="00250CF2">
        <w:rPr>
          <w:rFonts w:ascii="Arial" w:hAnsi="Arial" w:cs="Arial"/>
        </w:rPr>
        <w:t>5.460.186</w:t>
      </w:r>
      <w:r w:rsidR="00ED6AC9" w:rsidRPr="00934EA2">
        <w:rPr>
          <w:rFonts w:ascii="Arial" w:hAnsi="Arial" w:cs="Arial"/>
        </w:rPr>
        <w:t>,00</w:t>
      </w:r>
      <w:r w:rsidR="006D738F" w:rsidRPr="00934EA2">
        <w:rPr>
          <w:rFonts w:ascii="Arial" w:hAnsi="Arial" w:cs="Arial"/>
        </w:rPr>
        <w:t xml:space="preserve"> kuna</w:t>
      </w:r>
      <w:r w:rsidR="00387896" w:rsidRPr="00934EA2">
        <w:rPr>
          <w:rFonts w:ascii="Arial" w:hAnsi="Arial" w:cs="Arial"/>
        </w:rPr>
        <w:t xml:space="preserve"> viška prihoda. </w:t>
      </w:r>
    </w:p>
    <w:p w14:paraId="58C9E460" w14:textId="77777777" w:rsidR="00387896" w:rsidRPr="00F250FE" w:rsidRDefault="00387896" w:rsidP="0010060E">
      <w:pPr>
        <w:rPr>
          <w:rFonts w:ascii="Arial" w:hAnsi="Arial" w:cs="Arial"/>
          <w:highlight w:val="yellow"/>
        </w:rPr>
      </w:pPr>
    </w:p>
    <w:p w14:paraId="544B191B" w14:textId="77777777" w:rsidR="0048640D" w:rsidRPr="00A14E91" w:rsidRDefault="0048640D" w:rsidP="00DF639F">
      <w:pPr>
        <w:rPr>
          <w:rFonts w:ascii="Arial" w:hAnsi="Arial" w:cs="Arial"/>
          <w:b/>
        </w:rPr>
      </w:pPr>
      <w:r w:rsidRPr="00A14E91">
        <w:rPr>
          <w:rFonts w:ascii="Arial" w:hAnsi="Arial" w:cs="Arial"/>
          <w:b/>
        </w:rPr>
        <w:t>RAČUN ZADUŽIVANJA/FINANCIRANJA</w:t>
      </w:r>
    </w:p>
    <w:p w14:paraId="600EFFAB" w14:textId="24F81FE0" w:rsidR="0064194D" w:rsidRPr="00A14E91" w:rsidRDefault="0048640D" w:rsidP="00C92907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A14E91">
        <w:rPr>
          <w:rFonts w:ascii="Arial" w:hAnsi="Arial" w:cs="Arial"/>
        </w:rPr>
        <w:t>U 20</w:t>
      </w:r>
      <w:r w:rsidR="00F250FE" w:rsidRPr="00A14E91">
        <w:rPr>
          <w:rFonts w:ascii="Arial" w:hAnsi="Arial" w:cs="Arial"/>
        </w:rPr>
        <w:t>2</w:t>
      </w:r>
      <w:r w:rsidR="00250CF2">
        <w:rPr>
          <w:rFonts w:ascii="Arial" w:hAnsi="Arial" w:cs="Arial"/>
        </w:rPr>
        <w:t>1</w:t>
      </w:r>
      <w:r w:rsidRPr="00A14E91">
        <w:rPr>
          <w:rFonts w:ascii="Arial" w:hAnsi="Arial" w:cs="Arial"/>
        </w:rPr>
        <w:t>. godini nije bilo danih zajmova i primljenih otplata</w:t>
      </w:r>
      <w:r w:rsidR="00A14E91">
        <w:rPr>
          <w:rFonts w:ascii="Arial" w:hAnsi="Arial" w:cs="Arial"/>
        </w:rPr>
        <w:t>.</w:t>
      </w:r>
      <w:r w:rsidRPr="00A14E91">
        <w:rPr>
          <w:rFonts w:ascii="Arial" w:hAnsi="Arial" w:cs="Arial"/>
        </w:rPr>
        <w:t xml:space="preserve"> </w:t>
      </w:r>
    </w:p>
    <w:p w14:paraId="3A731B50" w14:textId="34ACCF7B" w:rsidR="00A14E91" w:rsidRPr="00A14E91" w:rsidRDefault="00A14E91" w:rsidP="00A14E91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A14E91">
        <w:rPr>
          <w:rFonts w:ascii="Arial" w:hAnsi="Arial" w:cs="Arial"/>
        </w:rPr>
        <w:t>U 202</w:t>
      </w:r>
      <w:r w:rsidR="00250CF2">
        <w:rPr>
          <w:rFonts w:ascii="Arial" w:hAnsi="Arial" w:cs="Arial"/>
        </w:rPr>
        <w:t>1</w:t>
      </w:r>
      <w:r w:rsidRPr="00A14E91">
        <w:rPr>
          <w:rFonts w:ascii="Arial" w:hAnsi="Arial" w:cs="Arial"/>
        </w:rPr>
        <w:t>. godini nije bilo primljenih robnih zajmova i financijskih najmova</w:t>
      </w:r>
      <w:r>
        <w:rPr>
          <w:rFonts w:ascii="Arial" w:hAnsi="Arial" w:cs="Arial"/>
        </w:rPr>
        <w:t>.</w:t>
      </w:r>
      <w:r w:rsidRPr="00A14E91">
        <w:rPr>
          <w:rFonts w:ascii="Arial" w:hAnsi="Arial" w:cs="Arial"/>
        </w:rPr>
        <w:t xml:space="preserve"> </w:t>
      </w:r>
    </w:p>
    <w:p w14:paraId="32B5344F" w14:textId="7A219C77" w:rsidR="00BD61A5" w:rsidRDefault="0045752B" w:rsidP="006E0575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BD61A5">
        <w:rPr>
          <w:rFonts w:ascii="Arial" w:hAnsi="Arial" w:cs="Arial"/>
        </w:rPr>
        <w:t>U</w:t>
      </w:r>
      <w:r w:rsidR="001724F3" w:rsidRPr="00BD61A5">
        <w:rPr>
          <w:rFonts w:ascii="Arial" w:hAnsi="Arial" w:cs="Arial"/>
        </w:rPr>
        <w:t xml:space="preserve"> 20</w:t>
      </w:r>
      <w:r w:rsidR="000872D6" w:rsidRPr="00BD61A5">
        <w:rPr>
          <w:rFonts w:ascii="Arial" w:hAnsi="Arial" w:cs="Arial"/>
        </w:rPr>
        <w:t>2</w:t>
      </w:r>
      <w:r w:rsidR="00250CF2" w:rsidRPr="00BD61A5">
        <w:rPr>
          <w:rFonts w:ascii="Arial" w:hAnsi="Arial" w:cs="Arial"/>
        </w:rPr>
        <w:t>1. dospjelo je na naplatu 57.094,00 kuna kamat</w:t>
      </w:r>
      <w:r w:rsidR="00BD61A5" w:rsidRPr="00BD61A5">
        <w:rPr>
          <w:rFonts w:ascii="Arial" w:hAnsi="Arial" w:cs="Arial"/>
        </w:rPr>
        <w:t>a na kredit</w:t>
      </w:r>
      <w:r w:rsidR="007C34F7">
        <w:rPr>
          <w:rFonts w:ascii="Arial" w:hAnsi="Arial" w:cs="Arial"/>
        </w:rPr>
        <w:t xml:space="preserve"> za dogradnju i rekonstrukciju Dječjeg vrtića Grdelin.</w:t>
      </w:r>
    </w:p>
    <w:p w14:paraId="2614CE6E" w14:textId="198297E5" w:rsidR="00A14E91" w:rsidRDefault="00BD61A5" w:rsidP="006E0575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 2021</w:t>
      </w:r>
      <w:r w:rsidR="00A14E91" w:rsidRPr="00BD61A5">
        <w:rPr>
          <w:rFonts w:ascii="Arial" w:hAnsi="Arial" w:cs="Arial"/>
        </w:rPr>
        <w:t xml:space="preserve">. godini </w:t>
      </w:r>
      <w:r>
        <w:rPr>
          <w:rFonts w:ascii="Arial" w:hAnsi="Arial" w:cs="Arial"/>
        </w:rPr>
        <w:t>dospjela je na naplatu glavnica primljenog kredita za dogradnju i rekonstrukciju Dječjeg vrtića Grdelin,  iznosu od 522.500,00 kuna</w:t>
      </w:r>
      <w:r w:rsidR="00A14E91" w:rsidRPr="00BD61A5">
        <w:rPr>
          <w:rFonts w:ascii="Arial" w:hAnsi="Arial" w:cs="Arial"/>
        </w:rPr>
        <w:t xml:space="preserve">. </w:t>
      </w:r>
    </w:p>
    <w:p w14:paraId="4209F71F" w14:textId="77777777" w:rsidR="00ED202C" w:rsidRPr="00ED202C" w:rsidRDefault="00ED202C" w:rsidP="00ED202C">
      <w:pPr>
        <w:jc w:val="both"/>
        <w:rPr>
          <w:rFonts w:ascii="Arial" w:hAnsi="Arial" w:cs="Arial"/>
        </w:rPr>
      </w:pPr>
    </w:p>
    <w:p w14:paraId="64FE5237" w14:textId="77777777" w:rsidR="00ED202C" w:rsidRPr="00ED202C" w:rsidRDefault="00ED202C" w:rsidP="00ED202C">
      <w:pPr>
        <w:widowControl w:val="0"/>
        <w:tabs>
          <w:tab w:val="left" w:pos="720"/>
        </w:tabs>
        <w:jc w:val="both"/>
        <w:rPr>
          <w:rFonts w:ascii="Arial" w:hAnsi="Arial" w:cs="Arial"/>
          <w:sz w:val="18"/>
          <w:szCs w:val="18"/>
        </w:rPr>
      </w:pPr>
      <w:r w:rsidRPr="00ED202C">
        <w:rPr>
          <w:rFonts w:ascii="Arial" w:hAnsi="Arial" w:cs="Arial"/>
          <w:sz w:val="18"/>
          <w:szCs w:val="18"/>
        </w:rPr>
        <w:t>DUGOROČNI KREDIT ERSTE &amp; STEIERMARKISCHE BANK D.D. ZA REKONSTRUKCIJU I DOGRADNJU ZGRADE DJEČJEG VRTIĆA GRDELIN SA PRISTUPNOM PROMETNICOM, stanje:</w:t>
      </w:r>
    </w:p>
    <w:tbl>
      <w:tblPr>
        <w:tblW w:w="8600" w:type="dxa"/>
        <w:tblInd w:w="113" w:type="dxa"/>
        <w:tblLook w:val="04A0" w:firstRow="1" w:lastRow="0" w:firstColumn="1" w:lastColumn="0" w:noHBand="0" w:noVBand="1"/>
      </w:tblPr>
      <w:tblGrid>
        <w:gridCol w:w="2263"/>
        <w:gridCol w:w="3261"/>
        <w:gridCol w:w="3076"/>
      </w:tblGrid>
      <w:tr w:rsidR="00ED202C" w14:paraId="76AE733B" w14:textId="77777777" w:rsidTr="00D86453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5096" w14:textId="77777777" w:rsidR="00ED202C" w:rsidRPr="00654782" w:rsidRDefault="00ED202C" w:rsidP="00D86453">
            <w:pPr>
              <w:jc w:val="center"/>
              <w:rPr>
                <w:rFonts w:ascii="Arial" w:hAnsi="Arial" w:cs="Arial"/>
              </w:rPr>
            </w:pPr>
            <w:r w:rsidRPr="00654782">
              <w:rPr>
                <w:rFonts w:ascii="Arial" w:hAnsi="Arial" w:cs="Arial"/>
              </w:rPr>
              <w:t>Iznos glavnice, kuna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73D7" w14:textId="52DB7737" w:rsidR="00ED202C" w:rsidRPr="00654782" w:rsidRDefault="00ED202C" w:rsidP="00D86453">
            <w:pPr>
              <w:jc w:val="center"/>
              <w:rPr>
                <w:rFonts w:ascii="Arial" w:hAnsi="Arial" w:cs="Arial"/>
              </w:rPr>
            </w:pPr>
            <w:r w:rsidRPr="00654782">
              <w:rPr>
                <w:rFonts w:ascii="Arial" w:hAnsi="Arial" w:cs="Arial"/>
              </w:rPr>
              <w:t>Otplaćeno do 1-</w:t>
            </w:r>
            <w:r>
              <w:rPr>
                <w:rFonts w:ascii="Arial" w:hAnsi="Arial" w:cs="Arial"/>
              </w:rPr>
              <w:t>12</w:t>
            </w:r>
            <w:r w:rsidRPr="00654782">
              <w:rPr>
                <w:rFonts w:ascii="Arial" w:hAnsi="Arial" w:cs="Arial"/>
              </w:rPr>
              <w:t xml:space="preserve"> 2021, kuna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E7C9" w14:textId="759FB61A" w:rsidR="00ED202C" w:rsidRDefault="00ED202C" w:rsidP="00D86453">
            <w:pPr>
              <w:jc w:val="center"/>
              <w:rPr>
                <w:rFonts w:ascii="Arial" w:hAnsi="Arial" w:cs="Arial"/>
              </w:rPr>
            </w:pPr>
            <w:r w:rsidRPr="00654782">
              <w:rPr>
                <w:rFonts w:ascii="Arial" w:hAnsi="Arial" w:cs="Arial"/>
              </w:rPr>
              <w:t xml:space="preserve">Stanje na dan </w:t>
            </w:r>
            <w:r>
              <w:rPr>
                <w:rFonts w:ascii="Arial" w:hAnsi="Arial" w:cs="Arial"/>
              </w:rPr>
              <w:t>31.12.</w:t>
            </w:r>
            <w:r w:rsidRPr="00654782">
              <w:rPr>
                <w:rFonts w:ascii="Arial" w:hAnsi="Arial" w:cs="Arial"/>
              </w:rPr>
              <w:t xml:space="preserve">2021, </w:t>
            </w:r>
          </w:p>
          <w:p w14:paraId="46BDB3FB" w14:textId="77777777" w:rsidR="00ED202C" w:rsidRPr="00654782" w:rsidRDefault="00ED202C" w:rsidP="00D86453">
            <w:pPr>
              <w:jc w:val="center"/>
              <w:rPr>
                <w:rFonts w:ascii="Arial" w:hAnsi="Arial" w:cs="Arial"/>
              </w:rPr>
            </w:pPr>
            <w:r w:rsidRPr="00654782">
              <w:rPr>
                <w:rFonts w:ascii="Arial" w:hAnsi="Arial" w:cs="Arial"/>
              </w:rPr>
              <w:t>kuna</w:t>
            </w:r>
          </w:p>
        </w:tc>
      </w:tr>
      <w:tr w:rsidR="00ED202C" w14:paraId="2F514A65" w14:textId="77777777" w:rsidTr="00D86453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907A" w14:textId="77777777" w:rsidR="00ED202C" w:rsidRPr="00654782" w:rsidRDefault="00ED202C" w:rsidP="00D86453">
            <w:pPr>
              <w:jc w:val="center"/>
              <w:rPr>
                <w:rFonts w:ascii="Arial" w:hAnsi="Arial" w:cs="Arial"/>
              </w:rPr>
            </w:pPr>
            <w:r w:rsidRPr="00654782">
              <w:rPr>
                <w:rFonts w:ascii="Arial" w:hAnsi="Arial" w:cs="Arial"/>
              </w:rPr>
              <w:t xml:space="preserve">5.225.000,00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5D7A" w14:textId="7DE62309" w:rsidR="00ED202C" w:rsidRPr="00654782" w:rsidRDefault="00ED202C" w:rsidP="00D864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522.500</w:t>
            </w:r>
            <w:r w:rsidRPr="00654782">
              <w:rPr>
                <w:rFonts w:ascii="Arial" w:hAnsi="Arial" w:cs="Arial"/>
              </w:rPr>
              <w:t xml:space="preserve">,00 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0443" w14:textId="789611D3" w:rsidR="00ED202C" w:rsidRPr="00654782" w:rsidRDefault="00ED202C" w:rsidP="00D86453">
            <w:pPr>
              <w:jc w:val="center"/>
              <w:rPr>
                <w:rFonts w:ascii="Arial" w:hAnsi="Arial" w:cs="Arial"/>
              </w:rPr>
            </w:pPr>
            <w:r w:rsidRPr="00654782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>702.500</w:t>
            </w:r>
            <w:r w:rsidRPr="00654782">
              <w:rPr>
                <w:rFonts w:ascii="Arial" w:hAnsi="Arial" w:cs="Arial"/>
              </w:rPr>
              <w:t xml:space="preserve">,00 </w:t>
            </w:r>
          </w:p>
        </w:tc>
      </w:tr>
    </w:tbl>
    <w:p w14:paraId="5C9FC62D" w14:textId="77777777" w:rsidR="00ED202C" w:rsidRPr="005D6281" w:rsidRDefault="00ED202C" w:rsidP="00ED202C">
      <w:pPr>
        <w:pStyle w:val="Odlomakpopisa"/>
        <w:widowControl w:val="0"/>
        <w:tabs>
          <w:tab w:val="left" w:pos="720"/>
        </w:tabs>
        <w:jc w:val="both"/>
        <w:rPr>
          <w:rFonts w:ascii="Arial" w:hAnsi="Arial" w:cs="Arial"/>
        </w:rPr>
      </w:pPr>
    </w:p>
    <w:p w14:paraId="07401806" w14:textId="77777777" w:rsidR="00A14E91" w:rsidRDefault="00A14E91" w:rsidP="00A14E91">
      <w:pPr>
        <w:pStyle w:val="Odlomakpopisa"/>
        <w:jc w:val="both"/>
        <w:rPr>
          <w:rFonts w:ascii="Arial" w:hAnsi="Arial" w:cs="Arial"/>
        </w:rPr>
      </w:pPr>
    </w:p>
    <w:p w14:paraId="40E64B49" w14:textId="025254C2" w:rsidR="008B5B37" w:rsidRPr="00B26B88" w:rsidRDefault="0097274E" w:rsidP="0048640D">
      <w:pPr>
        <w:jc w:val="both"/>
        <w:rPr>
          <w:rFonts w:ascii="Arial" w:hAnsi="Arial" w:cs="Arial"/>
        </w:rPr>
      </w:pPr>
      <w:r w:rsidRPr="00B26B88">
        <w:rPr>
          <w:rFonts w:ascii="Arial" w:hAnsi="Arial" w:cs="Arial"/>
        </w:rPr>
        <w:t>Temeljem Pravilnika o proračunskom ra</w:t>
      </w:r>
      <w:r w:rsidR="00BE60F6" w:rsidRPr="00B26B88">
        <w:rPr>
          <w:rFonts w:ascii="Arial" w:hAnsi="Arial" w:cs="Arial"/>
        </w:rPr>
        <w:t>čunovodstvu i računskom planu (N</w:t>
      </w:r>
      <w:r w:rsidRPr="00B26B88">
        <w:rPr>
          <w:rFonts w:ascii="Arial" w:hAnsi="Arial" w:cs="Arial"/>
        </w:rPr>
        <w:t xml:space="preserve">arodne novine, </w:t>
      </w:r>
      <w:r w:rsidR="00783AC5" w:rsidRPr="00B26B88">
        <w:rPr>
          <w:rFonts w:ascii="Arial" w:hAnsi="Arial" w:cs="Arial"/>
        </w:rPr>
        <w:t>broj 124/14, 115/15, 87/16, 3/18</w:t>
      </w:r>
      <w:r w:rsidR="00BD61A5">
        <w:rPr>
          <w:rFonts w:ascii="Arial" w:hAnsi="Arial" w:cs="Arial"/>
        </w:rPr>
        <w:t xml:space="preserve">, </w:t>
      </w:r>
      <w:r w:rsidR="00783AC5" w:rsidRPr="00B26B88">
        <w:rPr>
          <w:rFonts w:ascii="Arial" w:hAnsi="Arial" w:cs="Arial"/>
        </w:rPr>
        <w:t>126/19</w:t>
      </w:r>
      <w:r w:rsidR="00AC4F12">
        <w:rPr>
          <w:rFonts w:ascii="Arial" w:hAnsi="Arial" w:cs="Arial"/>
        </w:rPr>
        <w:t xml:space="preserve"> i 108/20</w:t>
      </w:r>
      <w:r w:rsidR="00783AC5" w:rsidRPr="00B26B88">
        <w:rPr>
          <w:rFonts w:ascii="Arial" w:hAnsi="Arial" w:cs="Arial"/>
        </w:rPr>
        <w:t>) i</w:t>
      </w:r>
      <w:r w:rsidRPr="00B26B88">
        <w:rPr>
          <w:rFonts w:ascii="Arial" w:hAnsi="Arial" w:cs="Arial"/>
        </w:rPr>
        <w:t xml:space="preserve"> Pravilnika o financijskom izvještavanju u proračunskom računovodstvu (Narodne novine, broj 3/15.</w:t>
      </w:r>
      <w:r w:rsidR="00BE60F6" w:rsidRPr="00B26B88">
        <w:rPr>
          <w:rFonts w:ascii="Arial" w:hAnsi="Arial" w:cs="Arial"/>
        </w:rPr>
        <w:t xml:space="preserve">, 93/15., 135/15., 2/17., </w:t>
      </w:r>
      <w:r w:rsidR="00A14E91" w:rsidRPr="00B26B88">
        <w:rPr>
          <w:rFonts w:ascii="Arial" w:hAnsi="Arial" w:cs="Arial"/>
        </w:rPr>
        <w:t>28/17., 112/18.</w:t>
      </w:r>
      <w:r w:rsidR="00AC4F12">
        <w:rPr>
          <w:rFonts w:ascii="Arial" w:hAnsi="Arial" w:cs="Arial"/>
        </w:rPr>
        <w:t>,</w:t>
      </w:r>
      <w:r w:rsidR="00A14E91" w:rsidRPr="00B26B88">
        <w:rPr>
          <w:rFonts w:ascii="Arial" w:hAnsi="Arial" w:cs="Arial"/>
        </w:rPr>
        <w:t xml:space="preserve"> 126/19.</w:t>
      </w:r>
      <w:r w:rsidR="00AC4F12">
        <w:rPr>
          <w:rFonts w:ascii="Arial" w:hAnsi="Arial" w:cs="Arial"/>
        </w:rPr>
        <w:t>, 145/20. i 32/21.</w:t>
      </w:r>
      <w:r w:rsidRPr="00B26B88">
        <w:rPr>
          <w:rFonts w:ascii="Arial" w:hAnsi="Arial" w:cs="Arial"/>
        </w:rPr>
        <w:t>), financijski izvještaj</w:t>
      </w:r>
      <w:r w:rsidR="00BC3C26" w:rsidRPr="00B26B88">
        <w:rPr>
          <w:rFonts w:ascii="Arial" w:hAnsi="Arial" w:cs="Arial"/>
        </w:rPr>
        <w:t>i Proračuna Grada Buzeta za 20</w:t>
      </w:r>
      <w:r w:rsidR="00A14E91" w:rsidRPr="00B26B88">
        <w:rPr>
          <w:rFonts w:ascii="Arial" w:hAnsi="Arial" w:cs="Arial"/>
        </w:rPr>
        <w:t>2</w:t>
      </w:r>
      <w:r w:rsidR="00AC4F12">
        <w:rPr>
          <w:rFonts w:ascii="Arial" w:hAnsi="Arial" w:cs="Arial"/>
        </w:rPr>
        <w:t>1</w:t>
      </w:r>
      <w:r w:rsidRPr="00B26B88">
        <w:rPr>
          <w:rFonts w:ascii="Arial" w:hAnsi="Arial" w:cs="Arial"/>
        </w:rPr>
        <w:t>. godinu sadrže:</w:t>
      </w:r>
    </w:p>
    <w:p w14:paraId="5DE316B2" w14:textId="71B73929" w:rsidR="0097274E" w:rsidRPr="00B26B88" w:rsidRDefault="0097274E" w:rsidP="0097274E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r w:rsidRPr="00B26B88">
        <w:rPr>
          <w:rFonts w:ascii="Arial" w:hAnsi="Arial" w:cs="Arial"/>
        </w:rPr>
        <w:t>Bilancu sa st</w:t>
      </w:r>
      <w:r w:rsidR="006A6D86" w:rsidRPr="00B26B88">
        <w:rPr>
          <w:rFonts w:ascii="Arial" w:hAnsi="Arial" w:cs="Arial"/>
        </w:rPr>
        <w:t>anjem na datum 31. prosinca 20</w:t>
      </w:r>
      <w:r w:rsidR="00A14E91" w:rsidRPr="00B26B88">
        <w:rPr>
          <w:rFonts w:ascii="Arial" w:hAnsi="Arial" w:cs="Arial"/>
        </w:rPr>
        <w:t>2</w:t>
      </w:r>
      <w:r w:rsidR="00AC4F12">
        <w:rPr>
          <w:rFonts w:ascii="Arial" w:hAnsi="Arial" w:cs="Arial"/>
        </w:rPr>
        <w:t>1</w:t>
      </w:r>
      <w:r w:rsidRPr="00B26B88">
        <w:rPr>
          <w:rFonts w:ascii="Arial" w:hAnsi="Arial" w:cs="Arial"/>
        </w:rPr>
        <w:t>. godine,</w:t>
      </w:r>
    </w:p>
    <w:p w14:paraId="6BEA8912" w14:textId="5A1289D4" w:rsidR="0097274E" w:rsidRPr="00B26B88" w:rsidRDefault="0097274E" w:rsidP="0097274E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r w:rsidRPr="00B26B88">
        <w:rPr>
          <w:rFonts w:ascii="Arial" w:hAnsi="Arial" w:cs="Arial"/>
        </w:rPr>
        <w:t>Izvještaj o prihodima i rashodima, primicima i izdacima za razdoblje od 0</w:t>
      </w:r>
      <w:r w:rsidR="006A6D86" w:rsidRPr="00B26B88">
        <w:rPr>
          <w:rFonts w:ascii="Arial" w:hAnsi="Arial" w:cs="Arial"/>
        </w:rPr>
        <w:t>1. siječnja do 31. prosinca 20</w:t>
      </w:r>
      <w:r w:rsidR="00A14E91" w:rsidRPr="00B26B88">
        <w:rPr>
          <w:rFonts w:ascii="Arial" w:hAnsi="Arial" w:cs="Arial"/>
        </w:rPr>
        <w:t>2</w:t>
      </w:r>
      <w:r w:rsidR="00AC4F12">
        <w:rPr>
          <w:rFonts w:ascii="Arial" w:hAnsi="Arial" w:cs="Arial"/>
        </w:rPr>
        <w:t>1</w:t>
      </w:r>
      <w:r w:rsidRPr="00B26B88">
        <w:rPr>
          <w:rFonts w:ascii="Arial" w:hAnsi="Arial" w:cs="Arial"/>
        </w:rPr>
        <w:t>. godine,</w:t>
      </w:r>
    </w:p>
    <w:p w14:paraId="1F9972A6" w14:textId="3C7A8CD6" w:rsidR="00E76297" w:rsidRPr="00B26B88" w:rsidRDefault="00E76297" w:rsidP="00E76297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r w:rsidRPr="00B26B88">
        <w:rPr>
          <w:rFonts w:ascii="Arial" w:hAnsi="Arial" w:cs="Arial"/>
        </w:rPr>
        <w:t>Izvještaj o rashodima prema funkcijskoj klasifikaciji za razdoblje od 0</w:t>
      </w:r>
      <w:r w:rsidR="006A6D86" w:rsidRPr="00B26B88">
        <w:rPr>
          <w:rFonts w:ascii="Arial" w:hAnsi="Arial" w:cs="Arial"/>
        </w:rPr>
        <w:t>1. siječnja do 31. prosinca 20</w:t>
      </w:r>
      <w:r w:rsidR="00B26B88" w:rsidRPr="00B26B88">
        <w:rPr>
          <w:rFonts w:ascii="Arial" w:hAnsi="Arial" w:cs="Arial"/>
        </w:rPr>
        <w:t>2</w:t>
      </w:r>
      <w:r w:rsidR="00AC4F12">
        <w:rPr>
          <w:rFonts w:ascii="Arial" w:hAnsi="Arial" w:cs="Arial"/>
        </w:rPr>
        <w:t>1</w:t>
      </w:r>
      <w:r w:rsidRPr="00B26B88">
        <w:rPr>
          <w:rFonts w:ascii="Arial" w:hAnsi="Arial" w:cs="Arial"/>
        </w:rPr>
        <w:t>. godine,</w:t>
      </w:r>
    </w:p>
    <w:p w14:paraId="5CD00E90" w14:textId="108B3E0D" w:rsidR="00E76297" w:rsidRPr="00B26B88" w:rsidRDefault="00E76297" w:rsidP="00E76297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r w:rsidRPr="00B26B88">
        <w:rPr>
          <w:rFonts w:ascii="Arial" w:hAnsi="Arial" w:cs="Arial"/>
        </w:rPr>
        <w:t>Izvještaj o promjenama u vrijednosti i obujmu imovine i obveza za razdoblje od 0</w:t>
      </w:r>
      <w:r w:rsidR="006A6D86" w:rsidRPr="00B26B88">
        <w:rPr>
          <w:rFonts w:ascii="Arial" w:hAnsi="Arial" w:cs="Arial"/>
        </w:rPr>
        <w:t>1. siječnja do 31. prosinca 20</w:t>
      </w:r>
      <w:r w:rsidR="00B26B88" w:rsidRPr="00B26B88">
        <w:rPr>
          <w:rFonts w:ascii="Arial" w:hAnsi="Arial" w:cs="Arial"/>
        </w:rPr>
        <w:t>2</w:t>
      </w:r>
      <w:r w:rsidR="00AC4F12">
        <w:rPr>
          <w:rFonts w:ascii="Arial" w:hAnsi="Arial" w:cs="Arial"/>
        </w:rPr>
        <w:t>1</w:t>
      </w:r>
      <w:r w:rsidRPr="00B26B88">
        <w:rPr>
          <w:rFonts w:ascii="Arial" w:hAnsi="Arial" w:cs="Arial"/>
        </w:rPr>
        <w:t>. godine,</w:t>
      </w:r>
    </w:p>
    <w:p w14:paraId="34CB965C" w14:textId="1B4769B0" w:rsidR="00E76297" w:rsidRPr="00B26B88" w:rsidRDefault="00E76297" w:rsidP="00E76297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r w:rsidRPr="00B26B88">
        <w:rPr>
          <w:rFonts w:ascii="Arial" w:hAnsi="Arial" w:cs="Arial"/>
        </w:rPr>
        <w:t>Izvještaj o obvezama za razdoblje od 0</w:t>
      </w:r>
      <w:r w:rsidR="006A6D86" w:rsidRPr="00B26B88">
        <w:rPr>
          <w:rFonts w:ascii="Arial" w:hAnsi="Arial" w:cs="Arial"/>
        </w:rPr>
        <w:t>1. siječnja do 31. prosinca 20</w:t>
      </w:r>
      <w:r w:rsidR="00B26B88" w:rsidRPr="00B26B88">
        <w:rPr>
          <w:rFonts w:ascii="Arial" w:hAnsi="Arial" w:cs="Arial"/>
        </w:rPr>
        <w:t>2</w:t>
      </w:r>
      <w:r w:rsidR="00593E5E">
        <w:rPr>
          <w:rFonts w:ascii="Arial" w:hAnsi="Arial" w:cs="Arial"/>
        </w:rPr>
        <w:t>1</w:t>
      </w:r>
      <w:r w:rsidRPr="00B26B88">
        <w:rPr>
          <w:rFonts w:ascii="Arial" w:hAnsi="Arial" w:cs="Arial"/>
        </w:rPr>
        <w:t>. godine,</w:t>
      </w:r>
    </w:p>
    <w:p w14:paraId="01541E6B" w14:textId="77777777" w:rsidR="006740CD" w:rsidRPr="00B26B88" w:rsidRDefault="00E76297" w:rsidP="0048640D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r w:rsidRPr="00B26B88">
        <w:rPr>
          <w:rFonts w:ascii="Arial" w:hAnsi="Arial" w:cs="Arial"/>
        </w:rPr>
        <w:t>Bilješke.</w:t>
      </w:r>
    </w:p>
    <w:p w14:paraId="131F9DEE" w14:textId="77777777" w:rsidR="00DF639F" w:rsidRPr="00F250FE" w:rsidRDefault="00DF639F" w:rsidP="0048640D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3EFA69A3" w14:textId="77777777" w:rsidR="00CE4141" w:rsidRDefault="00CE4141" w:rsidP="0048640D">
      <w:pPr>
        <w:jc w:val="both"/>
        <w:rPr>
          <w:rFonts w:ascii="Arial" w:hAnsi="Arial" w:cs="Arial"/>
          <w:b/>
          <w:sz w:val="24"/>
          <w:szCs w:val="24"/>
        </w:rPr>
      </w:pPr>
    </w:p>
    <w:p w14:paraId="27B35DB5" w14:textId="77777777" w:rsidR="00CE4141" w:rsidRDefault="00CE4141" w:rsidP="0048640D">
      <w:pPr>
        <w:jc w:val="both"/>
        <w:rPr>
          <w:rFonts w:ascii="Arial" w:hAnsi="Arial" w:cs="Arial"/>
          <w:b/>
          <w:sz w:val="24"/>
          <w:szCs w:val="24"/>
        </w:rPr>
      </w:pPr>
    </w:p>
    <w:p w14:paraId="271EAF7D" w14:textId="77777777" w:rsidR="000B14DD" w:rsidRPr="008D05F9" w:rsidRDefault="0048640D" w:rsidP="0048640D">
      <w:pPr>
        <w:jc w:val="both"/>
        <w:rPr>
          <w:rFonts w:ascii="Arial" w:hAnsi="Arial" w:cs="Arial"/>
          <w:b/>
          <w:sz w:val="24"/>
          <w:szCs w:val="24"/>
        </w:rPr>
      </w:pPr>
      <w:r w:rsidRPr="008D05F9">
        <w:rPr>
          <w:rFonts w:ascii="Arial" w:hAnsi="Arial" w:cs="Arial"/>
          <w:b/>
          <w:sz w:val="24"/>
          <w:szCs w:val="24"/>
        </w:rPr>
        <w:t>Bilješke uz Bilancu (BIL)</w:t>
      </w:r>
    </w:p>
    <w:p w14:paraId="5F3F13DE" w14:textId="1ABE1930" w:rsidR="000B14DD" w:rsidRPr="00934EA2" w:rsidRDefault="00AA54B7" w:rsidP="0048640D">
      <w:pPr>
        <w:jc w:val="both"/>
        <w:rPr>
          <w:rFonts w:ascii="Arial" w:hAnsi="Arial" w:cs="Arial"/>
        </w:rPr>
      </w:pPr>
      <w:r w:rsidRPr="00934EA2">
        <w:rPr>
          <w:rFonts w:ascii="Arial" w:hAnsi="Arial" w:cs="Arial"/>
          <w:b/>
        </w:rPr>
        <w:t>AOP 001</w:t>
      </w:r>
      <w:r w:rsidRPr="00934EA2">
        <w:rPr>
          <w:rFonts w:ascii="Arial" w:hAnsi="Arial" w:cs="Arial"/>
        </w:rPr>
        <w:t xml:space="preserve"> (Imovina) </w:t>
      </w:r>
      <w:r w:rsidR="000B14DD" w:rsidRPr="00934EA2">
        <w:rPr>
          <w:rFonts w:ascii="Arial" w:hAnsi="Arial" w:cs="Arial"/>
        </w:rPr>
        <w:t xml:space="preserve"> – Imovina Grada Buzeta </w:t>
      </w:r>
      <w:r w:rsidR="0081188A" w:rsidRPr="00934EA2">
        <w:rPr>
          <w:rFonts w:ascii="Arial" w:hAnsi="Arial" w:cs="Arial"/>
        </w:rPr>
        <w:t>n</w:t>
      </w:r>
      <w:r w:rsidR="00BA5196" w:rsidRPr="00934EA2">
        <w:rPr>
          <w:rFonts w:ascii="Arial" w:hAnsi="Arial" w:cs="Arial"/>
        </w:rPr>
        <w:t>a dan 31. prosinca 20</w:t>
      </w:r>
      <w:r w:rsidR="00934EA2" w:rsidRPr="00934EA2">
        <w:rPr>
          <w:rFonts w:ascii="Arial" w:hAnsi="Arial" w:cs="Arial"/>
        </w:rPr>
        <w:t>2</w:t>
      </w:r>
      <w:r w:rsidR="00AC4F12">
        <w:rPr>
          <w:rFonts w:ascii="Arial" w:hAnsi="Arial" w:cs="Arial"/>
        </w:rPr>
        <w:t>1</w:t>
      </w:r>
      <w:r w:rsidR="004D77CF" w:rsidRPr="00934EA2">
        <w:rPr>
          <w:rFonts w:ascii="Arial" w:hAnsi="Arial" w:cs="Arial"/>
        </w:rPr>
        <w:t>. g</w:t>
      </w:r>
      <w:r w:rsidR="00BA5196" w:rsidRPr="00934EA2">
        <w:rPr>
          <w:rFonts w:ascii="Arial" w:hAnsi="Arial" w:cs="Arial"/>
        </w:rPr>
        <w:t xml:space="preserve">odine iznosila je </w:t>
      </w:r>
      <w:r w:rsidR="00934EA2" w:rsidRPr="00934EA2">
        <w:rPr>
          <w:rFonts w:ascii="Arial" w:hAnsi="Arial" w:cs="Arial"/>
        </w:rPr>
        <w:t>31</w:t>
      </w:r>
      <w:r w:rsidR="00AC4F12">
        <w:rPr>
          <w:rFonts w:ascii="Arial" w:hAnsi="Arial" w:cs="Arial"/>
        </w:rPr>
        <w:t>1</w:t>
      </w:r>
      <w:r w:rsidR="00934EA2" w:rsidRPr="00934EA2">
        <w:rPr>
          <w:rFonts w:ascii="Arial" w:hAnsi="Arial" w:cs="Arial"/>
        </w:rPr>
        <w:t>.</w:t>
      </w:r>
      <w:r w:rsidR="00AC4F12">
        <w:rPr>
          <w:rFonts w:ascii="Arial" w:hAnsi="Arial" w:cs="Arial"/>
        </w:rPr>
        <w:t>138</w:t>
      </w:r>
      <w:r w:rsidR="00934EA2" w:rsidRPr="00934EA2">
        <w:rPr>
          <w:rFonts w:ascii="Arial" w:hAnsi="Arial" w:cs="Arial"/>
        </w:rPr>
        <w:t>.</w:t>
      </w:r>
      <w:r w:rsidR="00AC4F12">
        <w:rPr>
          <w:rFonts w:ascii="Arial" w:hAnsi="Arial" w:cs="Arial"/>
        </w:rPr>
        <w:t>441</w:t>
      </w:r>
      <w:r w:rsidR="00934EA2">
        <w:rPr>
          <w:rFonts w:ascii="Arial" w:hAnsi="Arial" w:cs="Arial"/>
        </w:rPr>
        <w:t>,00</w:t>
      </w:r>
      <w:r w:rsidR="00BA5196" w:rsidRPr="00934EA2">
        <w:rPr>
          <w:rFonts w:ascii="Arial" w:hAnsi="Arial" w:cs="Arial"/>
        </w:rPr>
        <w:t xml:space="preserve"> kun</w:t>
      </w:r>
      <w:r w:rsidR="00AC4F12">
        <w:rPr>
          <w:rFonts w:ascii="Arial" w:hAnsi="Arial" w:cs="Arial"/>
        </w:rPr>
        <w:t>u</w:t>
      </w:r>
      <w:r w:rsidR="00BA5196" w:rsidRPr="00934EA2">
        <w:rPr>
          <w:rFonts w:ascii="Arial" w:hAnsi="Arial" w:cs="Arial"/>
        </w:rPr>
        <w:t xml:space="preserve"> što je za </w:t>
      </w:r>
      <w:r w:rsidR="00AC4F12">
        <w:rPr>
          <w:rFonts w:ascii="Arial" w:hAnsi="Arial" w:cs="Arial"/>
        </w:rPr>
        <w:t>0,1%</w:t>
      </w:r>
      <w:r w:rsidR="00BA5196" w:rsidRPr="00934EA2">
        <w:rPr>
          <w:rFonts w:ascii="Arial" w:hAnsi="Arial" w:cs="Arial"/>
        </w:rPr>
        <w:t xml:space="preserve"> više od stanja </w:t>
      </w:r>
      <w:r w:rsidR="009D7A8B">
        <w:rPr>
          <w:rFonts w:ascii="Arial" w:hAnsi="Arial" w:cs="Arial"/>
        </w:rPr>
        <w:t xml:space="preserve">na </w:t>
      </w:r>
      <w:r w:rsidR="00BA5196" w:rsidRPr="00934EA2">
        <w:rPr>
          <w:rFonts w:ascii="Arial" w:hAnsi="Arial" w:cs="Arial"/>
        </w:rPr>
        <w:t>početk</w:t>
      </w:r>
      <w:r w:rsidR="009D7A8B">
        <w:rPr>
          <w:rFonts w:ascii="Arial" w:hAnsi="Arial" w:cs="Arial"/>
        </w:rPr>
        <w:t>u</w:t>
      </w:r>
      <w:r w:rsidR="00BA5196" w:rsidRPr="00934EA2">
        <w:rPr>
          <w:rFonts w:ascii="Arial" w:hAnsi="Arial" w:cs="Arial"/>
        </w:rPr>
        <w:t xml:space="preserve"> 20</w:t>
      </w:r>
      <w:r w:rsidR="00934EA2" w:rsidRPr="00934EA2">
        <w:rPr>
          <w:rFonts w:ascii="Arial" w:hAnsi="Arial" w:cs="Arial"/>
        </w:rPr>
        <w:t>2</w:t>
      </w:r>
      <w:r w:rsidR="00AC4F12">
        <w:rPr>
          <w:rFonts w:ascii="Arial" w:hAnsi="Arial" w:cs="Arial"/>
        </w:rPr>
        <w:t>1</w:t>
      </w:r>
      <w:r w:rsidRPr="00934EA2">
        <w:rPr>
          <w:rFonts w:ascii="Arial" w:hAnsi="Arial" w:cs="Arial"/>
        </w:rPr>
        <w:t>. godine.</w:t>
      </w:r>
    </w:p>
    <w:p w14:paraId="11EA141A" w14:textId="6F001931" w:rsidR="00AA54B7" w:rsidRPr="00934EA2" w:rsidRDefault="00AA54B7" w:rsidP="0048640D">
      <w:pPr>
        <w:jc w:val="both"/>
        <w:rPr>
          <w:rFonts w:ascii="Arial" w:hAnsi="Arial" w:cs="Arial"/>
        </w:rPr>
      </w:pPr>
      <w:r w:rsidRPr="00934EA2">
        <w:rPr>
          <w:rFonts w:ascii="Arial" w:hAnsi="Arial" w:cs="Arial"/>
        </w:rPr>
        <w:t>Imovinu Grada</w:t>
      </w:r>
      <w:r w:rsidR="007B45FF" w:rsidRPr="00934EA2">
        <w:rPr>
          <w:rFonts w:ascii="Arial" w:hAnsi="Arial" w:cs="Arial"/>
        </w:rPr>
        <w:t xml:space="preserve"> Buzeta na dan 31. prosinca 20</w:t>
      </w:r>
      <w:r w:rsidR="00934EA2" w:rsidRPr="00934EA2">
        <w:rPr>
          <w:rFonts w:ascii="Arial" w:hAnsi="Arial" w:cs="Arial"/>
        </w:rPr>
        <w:t>2</w:t>
      </w:r>
      <w:r w:rsidR="00AC4F12">
        <w:rPr>
          <w:rFonts w:ascii="Arial" w:hAnsi="Arial" w:cs="Arial"/>
        </w:rPr>
        <w:t>1</w:t>
      </w:r>
      <w:r w:rsidRPr="00934EA2">
        <w:rPr>
          <w:rFonts w:ascii="Arial" w:hAnsi="Arial" w:cs="Arial"/>
        </w:rPr>
        <w:t>. godine sačinjava:</w:t>
      </w:r>
    </w:p>
    <w:p w14:paraId="5C11E4DD" w14:textId="2B20FC13" w:rsidR="00AA54B7" w:rsidRPr="00934EA2" w:rsidRDefault="00AA54B7" w:rsidP="00AA54B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hr-HR"/>
        </w:rPr>
      </w:pPr>
      <w:r w:rsidRPr="00934EA2">
        <w:rPr>
          <w:rFonts w:ascii="Arial" w:hAnsi="Arial" w:cs="Arial"/>
        </w:rPr>
        <w:t xml:space="preserve">nefinancijska imovina </w:t>
      </w:r>
      <w:r w:rsidRPr="00934EA2">
        <w:rPr>
          <w:rFonts w:ascii="Arial" w:hAnsi="Arial" w:cs="Arial"/>
          <w:b/>
        </w:rPr>
        <w:t>(AOP 002</w:t>
      </w:r>
      <w:r w:rsidRPr="00934EA2">
        <w:rPr>
          <w:rFonts w:ascii="Arial" w:hAnsi="Arial" w:cs="Arial"/>
        </w:rPr>
        <w:t xml:space="preserve">) u iznosu od </w:t>
      </w:r>
      <w:r w:rsidR="00934EA2" w:rsidRPr="00934EA2">
        <w:rPr>
          <w:rFonts w:ascii="Arial" w:eastAsia="Times New Roman" w:hAnsi="Arial" w:cs="Arial"/>
          <w:bCs/>
          <w:lang w:eastAsia="hr-HR"/>
        </w:rPr>
        <w:t>27</w:t>
      </w:r>
      <w:r w:rsidR="00AC4F12">
        <w:rPr>
          <w:rFonts w:ascii="Arial" w:eastAsia="Times New Roman" w:hAnsi="Arial" w:cs="Arial"/>
          <w:bCs/>
          <w:lang w:eastAsia="hr-HR"/>
        </w:rPr>
        <w:t>5.332.169</w:t>
      </w:r>
      <w:r w:rsidR="00934EA2" w:rsidRPr="00934EA2">
        <w:rPr>
          <w:rFonts w:ascii="Arial" w:eastAsia="Times New Roman" w:hAnsi="Arial" w:cs="Arial"/>
          <w:bCs/>
          <w:lang w:eastAsia="hr-HR"/>
        </w:rPr>
        <w:t>,00</w:t>
      </w:r>
      <w:r w:rsidRPr="00934EA2">
        <w:rPr>
          <w:rFonts w:ascii="Arial" w:eastAsia="Times New Roman" w:hAnsi="Arial" w:cs="Arial"/>
          <w:bCs/>
          <w:lang w:eastAsia="hr-HR"/>
        </w:rPr>
        <w:t xml:space="preserve"> kuna</w:t>
      </w:r>
    </w:p>
    <w:p w14:paraId="3585CDB3" w14:textId="6F5A8969" w:rsidR="00AA54B7" w:rsidRPr="00934EA2" w:rsidRDefault="00AA54B7" w:rsidP="0048640D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934EA2">
        <w:rPr>
          <w:rFonts w:ascii="Arial" w:hAnsi="Arial" w:cs="Arial"/>
        </w:rPr>
        <w:t xml:space="preserve">financijska imovina </w:t>
      </w:r>
      <w:r w:rsidRPr="00934EA2">
        <w:rPr>
          <w:rFonts w:ascii="Arial" w:hAnsi="Arial" w:cs="Arial"/>
          <w:b/>
        </w:rPr>
        <w:t>(AOP 063)</w:t>
      </w:r>
      <w:r w:rsidRPr="00934EA2">
        <w:rPr>
          <w:rFonts w:ascii="Arial" w:hAnsi="Arial" w:cs="Arial"/>
        </w:rPr>
        <w:t xml:space="preserve"> u iznosu od </w:t>
      </w:r>
      <w:r w:rsidR="00AC4F12">
        <w:rPr>
          <w:rFonts w:ascii="Arial" w:hAnsi="Arial" w:cs="Arial"/>
        </w:rPr>
        <w:t>35.806.272</w:t>
      </w:r>
      <w:r w:rsidR="00934EA2" w:rsidRPr="00934EA2">
        <w:rPr>
          <w:rFonts w:ascii="Arial" w:hAnsi="Arial" w:cs="Arial"/>
        </w:rPr>
        <w:t>,00</w:t>
      </w:r>
      <w:r w:rsidR="00A56C9B" w:rsidRPr="00934EA2">
        <w:rPr>
          <w:rFonts w:ascii="Arial" w:hAnsi="Arial" w:cs="Arial"/>
        </w:rPr>
        <w:t xml:space="preserve"> kun</w:t>
      </w:r>
      <w:r w:rsidR="00AC4F12">
        <w:rPr>
          <w:rFonts w:ascii="Arial" w:hAnsi="Arial" w:cs="Arial"/>
        </w:rPr>
        <w:t>e</w:t>
      </w:r>
      <w:r w:rsidR="00A56C9B" w:rsidRPr="00934EA2">
        <w:rPr>
          <w:rFonts w:ascii="Arial" w:hAnsi="Arial" w:cs="Arial"/>
        </w:rPr>
        <w:t>.</w:t>
      </w:r>
    </w:p>
    <w:p w14:paraId="69311694" w14:textId="4EC62A74" w:rsidR="0048640D" w:rsidRDefault="0048640D" w:rsidP="0048640D">
      <w:pPr>
        <w:jc w:val="both"/>
        <w:rPr>
          <w:rFonts w:ascii="Arial" w:hAnsi="Arial" w:cs="Arial"/>
        </w:rPr>
      </w:pPr>
      <w:r w:rsidRPr="00C4441A">
        <w:rPr>
          <w:rFonts w:ascii="Arial" w:hAnsi="Arial" w:cs="Arial"/>
        </w:rPr>
        <w:t>Za ispravak vrijednosti dugotrajne imovine korištene su stope propisane prema važećem Pravilniku o proračunskom računovodstvu i računskom planu (Narodn</w:t>
      </w:r>
      <w:r w:rsidR="00BE5ABF" w:rsidRPr="00C4441A">
        <w:rPr>
          <w:rFonts w:ascii="Arial" w:hAnsi="Arial" w:cs="Arial"/>
        </w:rPr>
        <w:t>e novine, broj 124/14, 115/15, 87/16, 3/18 i 126/19</w:t>
      </w:r>
      <w:r w:rsidR="00AC4F12">
        <w:rPr>
          <w:rFonts w:ascii="Arial" w:hAnsi="Arial" w:cs="Arial"/>
        </w:rPr>
        <w:t xml:space="preserve"> i 108/20</w:t>
      </w:r>
      <w:r w:rsidR="00BE5ABF" w:rsidRPr="00C4441A">
        <w:rPr>
          <w:rFonts w:ascii="Arial" w:hAnsi="Arial" w:cs="Arial"/>
        </w:rPr>
        <w:t>).</w:t>
      </w:r>
    </w:p>
    <w:p w14:paraId="6CE5CC7B" w14:textId="6E230AF1" w:rsidR="008E4062" w:rsidRDefault="008E4062" w:rsidP="0048640D">
      <w:pPr>
        <w:jc w:val="both"/>
        <w:rPr>
          <w:rFonts w:ascii="Arial" w:hAnsi="Arial" w:cs="Arial"/>
        </w:rPr>
      </w:pPr>
      <w:r w:rsidRPr="00C4441A">
        <w:rPr>
          <w:rFonts w:ascii="Arial" w:hAnsi="Arial" w:cs="Arial"/>
          <w:b/>
        </w:rPr>
        <w:t>AOP 013</w:t>
      </w:r>
      <w:r w:rsidRPr="00C4441A">
        <w:rPr>
          <w:rFonts w:ascii="Arial" w:hAnsi="Arial" w:cs="Arial"/>
        </w:rPr>
        <w:t xml:space="preserve"> ( ispravak vrijednosti građevinski</w:t>
      </w:r>
      <w:r w:rsidR="00D933CD" w:rsidRPr="00C4441A">
        <w:rPr>
          <w:rFonts w:ascii="Arial" w:hAnsi="Arial" w:cs="Arial"/>
        </w:rPr>
        <w:t xml:space="preserve">h objekata) – povećan je za </w:t>
      </w:r>
      <w:r w:rsidR="000B07D1">
        <w:rPr>
          <w:rFonts w:ascii="Arial" w:hAnsi="Arial" w:cs="Arial"/>
        </w:rPr>
        <w:t>9,7</w:t>
      </w:r>
      <w:r w:rsidRPr="00C4441A">
        <w:rPr>
          <w:rFonts w:ascii="Arial" w:hAnsi="Arial" w:cs="Arial"/>
        </w:rPr>
        <w:t xml:space="preserve"> % kao posljed</w:t>
      </w:r>
      <w:r w:rsidR="00D933CD" w:rsidRPr="00C4441A">
        <w:rPr>
          <w:rFonts w:ascii="Arial" w:hAnsi="Arial" w:cs="Arial"/>
        </w:rPr>
        <w:t>ica ispravka vrijednosti za 20</w:t>
      </w:r>
      <w:r w:rsidR="00C4441A">
        <w:rPr>
          <w:rFonts w:ascii="Arial" w:hAnsi="Arial" w:cs="Arial"/>
        </w:rPr>
        <w:t>2</w:t>
      </w:r>
      <w:r w:rsidR="000B07D1">
        <w:rPr>
          <w:rFonts w:ascii="Arial" w:hAnsi="Arial" w:cs="Arial"/>
        </w:rPr>
        <w:t>1</w:t>
      </w:r>
      <w:r w:rsidRPr="00C4441A">
        <w:rPr>
          <w:rFonts w:ascii="Arial" w:hAnsi="Arial" w:cs="Arial"/>
        </w:rPr>
        <w:t>. godinu.</w:t>
      </w:r>
    </w:p>
    <w:p w14:paraId="46E27F92" w14:textId="4C737F37" w:rsidR="003137B1" w:rsidRDefault="003137B1" w:rsidP="0048640D">
      <w:pPr>
        <w:jc w:val="both"/>
        <w:rPr>
          <w:rFonts w:ascii="Arial" w:hAnsi="Arial" w:cs="Arial"/>
        </w:rPr>
      </w:pPr>
      <w:r w:rsidRPr="00CE4141">
        <w:rPr>
          <w:rFonts w:ascii="Arial" w:hAnsi="Arial" w:cs="Arial"/>
          <w:b/>
        </w:rPr>
        <w:t>AOP 01</w:t>
      </w:r>
      <w:r w:rsidR="000B07D1">
        <w:rPr>
          <w:rFonts w:ascii="Arial" w:hAnsi="Arial" w:cs="Arial"/>
          <w:b/>
        </w:rPr>
        <w:t>5</w:t>
      </w:r>
      <w:r>
        <w:rPr>
          <w:rFonts w:ascii="Arial" w:hAnsi="Arial" w:cs="Arial"/>
        </w:rPr>
        <w:t xml:space="preserve"> ( </w:t>
      </w:r>
      <w:r w:rsidR="000B07D1">
        <w:rPr>
          <w:rFonts w:ascii="Arial" w:hAnsi="Arial" w:cs="Arial"/>
        </w:rPr>
        <w:t>Uredska oprema i namještaj</w:t>
      </w:r>
      <w:r>
        <w:rPr>
          <w:rFonts w:ascii="Arial" w:hAnsi="Arial" w:cs="Arial"/>
        </w:rPr>
        <w:t xml:space="preserve"> ) – povećan</w:t>
      </w:r>
      <w:r w:rsidR="000B07D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je za </w:t>
      </w:r>
      <w:r w:rsidR="000B07D1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% </w:t>
      </w:r>
      <w:r w:rsidR="002865A5">
        <w:rPr>
          <w:rFonts w:ascii="Arial" w:hAnsi="Arial" w:cs="Arial"/>
        </w:rPr>
        <w:t xml:space="preserve">zbog </w:t>
      </w:r>
      <w:r w:rsidR="00430F77">
        <w:rPr>
          <w:rFonts w:ascii="Arial" w:hAnsi="Arial" w:cs="Arial"/>
        </w:rPr>
        <w:t xml:space="preserve">nabave uredske opreme </w:t>
      </w:r>
      <w:r w:rsidR="009219FF">
        <w:rPr>
          <w:rFonts w:ascii="Arial" w:hAnsi="Arial" w:cs="Arial"/>
        </w:rPr>
        <w:t>za</w:t>
      </w:r>
      <w:r w:rsidR="00430F77">
        <w:rPr>
          <w:rFonts w:ascii="Arial" w:hAnsi="Arial" w:cs="Arial"/>
        </w:rPr>
        <w:t xml:space="preserve"> poduzetnički inkubator</w:t>
      </w:r>
      <w:r w:rsidR="00BF1167">
        <w:rPr>
          <w:rFonts w:ascii="Arial" w:hAnsi="Arial" w:cs="Arial"/>
        </w:rPr>
        <w:t>.</w:t>
      </w:r>
    </w:p>
    <w:p w14:paraId="7A44EBA9" w14:textId="109D86C1" w:rsidR="0016231F" w:rsidRPr="00C4441A" w:rsidRDefault="0016231F" w:rsidP="0048640D">
      <w:pPr>
        <w:jc w:val="both"/>
        <w:rPr>
          <w:rFonts w:ascii="Arial" w:hAnsi="Arial" w:cs="Arial"/>
        </w:rPr>
      </w:pPr>
      <w:r w:rsidRPr="0016231F">
        <w:rPr>
          <w:rFonts w:ascii="Arial" w:hAnsi="Arial" w:cs="Arial"/>
          <w:b/>
        </w:rPr>
        <w:t>AOP 0</w:t>
      </w:r>
      <w:r w:rsidR="00430F77">
        <w:rPr>
          <w:rFonts w:ascii="Arial" w:hAnsi="Arial" w:cs="Arial"/>
          <w:b/>
        </w:rPr>
        <w:t>21</w:t>
      </w:r>
      <w:r>
        <w:rPr>
          <w:rFonts w:ascii="Arial" w:hAnsi="Arial" w:cs="Arial"/>
        </w:rPr>
        <w:t xml:space="preserve"> (</w:t>
      </w:r>
      <w:r w:rsidR="00430F77">
        <w:rPr>
          <w:rFonts w:ascii="Arial" w:hAnsi="Arial" w:cs="Arial"/>
        </w:rPr>
        <w:t>Uređaji, strojevi i oprema za ostale namjene</w:t>
      </w:r>
      <w:r>
        <w:rPr>
          <w:rFonts w:ascii="Arial" w:hAnsi="Arial" w:cs="Arial"/>
        </w:rPr>
        <w:t xml:space="preserve"> ) – povećanje </w:t>
      </w:r>
      <w:r w:rsidR="00430F77">
        <w:rPr>
          <w:rFonts w:ascii="Arial" w:hAnsi="Arial" w:cs="Arial"/>
        </w:rPr>
        <w:t>od</w:t>
      </w:r>
      <w:r>
        <w:rPr>
          <w:rFonts w:ascii="Arial" w:hAnsi="Arial" w:cs="Arial"/>
        </w:rPr>
        <w:t xml:space="preserve"> </w:t>
      </w:r>
      <w:r w:rsidR="00430F77">
        <w:rPr>
          <w:rFonts w:ascii="Arial" w:hAnsi="Arial" w:cs="Arial"/>
        </w:rPr>
        <w:t xml:space="preserve">34,3% uglavnom se odnosi na nabavku servera u </w:t>
      </w:r>
      <w:r w:rsidR="002865A5">
        <w:rPr>
          <w:rFonts w:ascii="Arial" w:hAnsi="Arial" w:cs="Arial"/>
        </w:rPr>
        <w:t>2021. godini.</w:t>
      </w:r>
    </w:p>
    <w:p w14:paraId="4111BA9D" w14:textId="652F9AF1" w:rsidR="0048640D" w:rsidRDefault="00BD1E51" w:rsidP="0048640D">
      <w:pPr>
        <w:jc w:val="both"/>
        <w:rPr>
          <w:rFonts w:ascii="Arial" w:hAnsi="Arial" w:cs="Arial"/>
        </w:rPr>
      </w:pPr>
      <w:r w:rsidRPr="00C4441A">
        <w:rPr>
          <w:rFonts w:ascii="Arial" w:hAnsi="Arial" w:cs="Arial"/>
          <w:b/>
        </w:rPr>
        <w:t>AOP 0</w:t>
      </w:r>
      <w:r w:rsidR="0026641A">
        <w:rPr>
          <w:rFonts w:ascii="Arial" w:hAnsi="Arial" w:cs="Arial"/>
          <w:b/>
        </w:rPr>
        <w:t>51</w:t>
      </w:r>
      <w:r w:rsidR="0048640D" w:rsidRPr="00C4441A">
        <w:rPr>
          <w:rFonts w:ascii="Arial" w:hAnsi="Arial" w:cs="Arial"/>
        </w:rPr>
        <w:t xml:space="preserve"> (</w:t>
      </w:r>
      <w:r w:rsidR="0026641A">
        <w:rPr>
          <w:rFonts w:ascii="Arial" w:hAnsi="Arial" w:cs="Arial"/>
        </w:rPr>
        <w:t>Građevinski objekti u pripremi</w:t>
      </w:r>
      <w:r w:rsidR="0048640D" w:rsidRPr="00C4441A">
        <w:rPr>
          <w:rFonts w:ascii="Arial" w:hAnsi="Arial" w:cs="Arial"/>
        </w:rPr>
        <w:t xml:space="preserve">) – </w:t>
      </w:r>
      <w:r w:rsidR="0026641A">
        <w:rPr>
          <w:rFonts w:ascii="Arial" w:hAnsi="Arial" w:cs="Arial"/>
        </w:rPr>
        <w:t xml:space="preserve">povećanje za 63% uglavnom se odnosi na radove na </w:t>
      </w:r>
      <w:r w:rsidR="00BF1167">
        <w:rPr>
          <w:rFonts w:ascii="Arial" w:hAnsi="Arial" w:cs="Arial"/>
        </w:rPr>
        <w:t xml:space="preserve">kapitalnom projektu poduzetničkog inkubatora palače </w:t>
      </w:r>
      <w:proofErr w:type="spellStart"/>
      <w:r w:rsidR="00BF1167">
        <w:rPr>
          <w:rFonts w:ascii="Arial" w:hAnsi="Arial" w:cs="Arial"/>
        </w:rPr>
        <w:t>Verzi</w:t>
      </w:r>
      <w:proofErr w:type="spellEnd"/>
      <w:r w:rsidR="00BF1167">
        <w:rPr>
          <w:rFonts w:ascii="Arial" w:hAnsi="Arial" w:cs="Arial"/>
        </w:rPr>
        <w:t>, čiji je završetak planiran početkom 2022. godine</w:t>
      </w:r>
      <w:r w:rsidR="0048640D" w:rsidRPr="00C4441A">
        <w:rPr>
          <w:rFonts w:ascii="Arial" w:hAnsi="Arial" w:cs="Arial"/>
        </w:rPr>
        <w:t>.</w:t>
      </w:r>
    </w:p>
    <w:p w14:paraId="6E57FCA5" w14:textId="214471CF" w:rsidR="00BF1167" w:rsidRPr="00BF1167" w:rsidRDefault="00BF1167" w:rsidP="0048640D">
      <w:pPr>
        <w:jc w:val="both"/>
        <w:rPr>
          <w:rFonts w:ascii="Arial" w:hAnsi="Arial" w:cs="Arial"/>
        </w:rPr>
      </w:pPr>
      <w:r w:rsidRPr="00BF1167">
        <w:rPr>
          <w:rFonts w:ascii="Arial" w:hAnsi="Arial" w:cs="Arial"/>
          <w:b/>
          <w:bCs/>
        </w:rPr>
        <w:t>AOP 067</w:t>
      </w:r>
      <w:r>
        <w:rPr>
          <w:rFonts w:ascii="Arial" w:hAnsi="Arial" w:cs="Arial"/>
          <w:b/>
          <w:bCs/>
        </w:rPr>
        <w:t xml:space="preserve"> </w:t>
      </w:r>
      <w:r w:rsidRPr="00BF1167">
        <w:rPr>
          <w:rFonts w:ascii="Arial" w:hAnsi="Arial" w:cs="Arial"/>
        </w:rPr>
        <w:t>(Novac na računu kod tuzemnih poslovnih banaka)</w:t>
      </w:r>
      <w:r>
        <w:rPr>
          <w:rFonts w:ascii="Arial" w:hAnsi="Arial" w:cs="Arial"/>
        </w:rPr>
        <w:t xml:space="preserve"> – novčana sredstva na kraju 2021. godine veća su za 11,5% u odnosu na početak 2021. godine. Iznos novčanih sredstava u banci je 6.210.430,00 kuna i odgovara stanju prema izvodu žiro-računa na dan 31.12.2021. godine.</w:t>
      </w:r>
    </w:p>
    <w:p w14:paraId="2EACC397" w14:textId="77777777" w:rsidR="00101559" w:rsidRDefault="00435C0D" w:rsidP="0048640D">
      <w:pPr>
        <w:jc w:val="both"/>
        <w:rPr>
          <w:rFonts w:ascii="Arial" w:hAnsi="Arial" w:cs="Arial"/>
        </w:rPr>
      </w:pPr>
      <w:r w:rsidRPr="008D05F9">
        <w:rPr>
          <w:rFonts w:ascii="Arial" w:hAnsi="Arial" w:cs="Arial"/>
          <w:b/>
        </w:rPr>
        <w:t>AOP 14</w:t>
      </w:r>
      <w:r w:rsidR="00C4441A" w:rsidRPr="008D05F9">
        <w:rPr>
          <w:rFonts w:ascii="Arial" w:hAnsi="Arial" w:cs="Arial"/>
          <w:b/>
        </w:rPr>
        <w:t>1</w:t>
      </w:r>
      <w:r w:rsidR="0048640D" w:rsidRPr="008D05F9">
        <w:rPr>
          <w:rFonts w:ascii="Arial" w:hAnsi="Arial" w:cs="Arial"/>
        </w:rPr>
        <w:t xml:space="preserve"> (Po</w:t>
      </w:r>
      <w:r w:rsidR="0048252B" w:rsidRPr="008D05F9">
        <w:rPr>
          <w:rFonts w:ascii="Arial" w:hAnsi="Arial" w:cs="Arial"/>
        </w:rPr>
        <w:t>t</w:t>
      </w:r>
      <w:r w:rsidRPr="008D05F9">
        <w:rPr>
          <w:rFonts w:ascii="Arial" w:hAnsi="Arial" w:cs="Arial"/>
        </w:rPr>
        <w:t>raživanja za prihode poslovanja</w:t>
      </w:r>
      <w:r w:rsidR="0048252B" w:rsidRPr="008D05F9">
        <w:rPr>
          <w:rFonts w:ascii="Arial" w:hAnsi="Arial" w:cs="Arial"/>
        </w:rPr>
        <w:t xml:space="preserve">) – </w:t>
      </w:r>
      <w:r w:rsidR="00CF2FE1" w:rsidRPr="008D05F9">
        <w:rPr>
          <w:rFonts w:ascii="Arial" w:hAnsi="Arial" w:cs="Arial"/>
        </w:rPr>
        <w:t xml:space="preserve">potraživanja su u odnosu </w:t>
      </w:r>
      <w:r w:rsidR="00835D17">
        <w:rPr>
          <w:rFonts w:ascii="Arial" w:hAnsi="Arial" w:cs="Arial"/>
        </w:rPr>
        <w:t>početak godine</w:t>
      </w:r>
      <w:r w:rsidR="00CF2FE1" w:rsidRPr="008D05F9">
        <w:rPr>
          <w:rFonts w:ascii="Arial" w:hAnsi="Arial" w:cs="Arial"/>
        </w:rPr>
        <w:t xml:space="preserve"> </w:t>
      </w:r>
      <w:r w:rsidR="00377151">
        <w:rPr>
          <w:rFonts w:ascii="Arial" w:hAnsi="Arial" w:cs="Arial"/>
        </w:rPr>
        <w:t>manja za 5,1%</w:t>
      </w:r>
      <w:r w:rsidR="00101559">
        <w:rPr>
          <w:rFonts w:ascii="Arial" w:hAnsi="Arial" w:cs="Arial"/>
        </w:rPr>
        <w:t>.</w:t>
      </w:r>
    </w:p>
    <w:p w14:paraId="6030FB90" w14:textId="05E444DD" w:rsidR="00AA3AEC" w:rsidRPr="00101559" w:rsidRDefault="00101559" w:rsidP="0048640D">
      <w:pPr>
        <w:jc w:val="both"/>
        <w:rPr>
          <w:rFonts w:ascii="Arial" w:hAnsi="Arial" w:cs="Arial"/>
          <w:highlight w:val="yellow"/>
        </w:rPr>
      </w:pPr>
      <w:r w:rsidRPr="00101559">
        <w:rPr>
          <w:rFonts w:ascii="Arial" w:hAnsi="Arial" w:cs="Arial"/>
          <w:b/>
          <w:bCs/>
        </w:rPr>
        <w:t>AOP 1</w:t>
      </w:r>
      <w:r w:rsidR="00F3223B">
        <w:rPr>
          <w:rFonts w:ascii="Arial" w:hAnsi="Arial" w:cs="Arial"/>
          <w:b/>
          <w:bCs/>
        </w:rPr>
        <w:t>42</w:t>
      </w:r>
      <w:r w:rsidR="00AA3AEC" w:rsidRPr="00101559">
        <w:rPr>
          <w:rFonts w:ascii="Arial" w:hAnsi="Arial" w:cs="Arial"/>
          <w:b/>
          <w:bCs/>
        </w:rPr>
        <w:t xml:space="preserve"> </w:t>
      </w:r>
      <w:r w:rsidRPr="00101559">
        <w:rPr>
          <w:rFonts w:ascii="Arial" w:hAnsi="Arial" w:cs="Arial"/>
        </w:rPr>
        <w:t>(Potraživanja za poreze)</w:t>
      </w:r>
      <w:r>
        <w:rPr>
          <w:rFonts w:ascii="Arial" w:hAnsi="Arial" w:cs="Arial"/>
        </w:rPr>
        <w:t xml:space="preserve"> su 1637,3% veća u odnosu na početak godine, većina se odnosi na potraživanja za porez na promet nekretnina</w:t>
      </w:r>
      <w:r w:rsidR="009219FF">
        <w:rPr>
          <w:rFonts w:ascii="Arial" w:hAnsi="Arial" w:cs="Arial"/>
        </w:rPr>
        <w:t>.</w:t>
      </w:r>
    </w:p>
    <w:p w14:paraId="522FBE0B" w14:textId="79C4271F" w:rsidR="00E75E2B" w:rsidRDefault="00CF2FE1" w:rsidP="0048640D">
      <w:pPr>
        <w:jc w:val="both"/>
        <w:rPr>
          <w:rFonts w:ascii="Arial" w:hAnsi="Arial" w:cs="Arial"/>
        </w:rPr>
      </w:pPr>
      <w:r w:rsidRPr="008D05F9">
        <w:rPr>
          <w:rFonts w:ascii="Arial" w:hAnsi="Arial" w:cs="Arial"/>
          <w:b/>
        </w:rPr>
        <w:t>AOP 1</w:t>
      </w:r>
      <w:r w:rsidR="00F3223B">
        <w:rPr>
          <w:rFonts w:ascii="Arial" w:hAnsi="Arial" w:cs="Arial"/>
          <w:b/>
        </w:rPr>
        <w:t>54</w:t>
      </w:r>
      <w:r w:rsidR="0048640D" w:rsidRPr="008D05F9">
        <w:rPr>
          <w:rFonts w:ascii="Arial" w:hAnsi="Arial" w:cs="Arial"/>
        </w:rPr>
        <w:t xml:space="preserve"> (</w:t>
      </w:r>
      <w:r w:rsidR="00CC6169">
        <w:rPr>
          <w:rFonts w:ascii="Arial" w:hAnsi="Arial" w:cs="Arial"/>
        </w:rPr>
        <w:t>Potraživanja za upravne i administrativne pristojbe, pristojbe po posebnim propisima i naknade) smanjena su za 14% u odnosu na početak godine, najveći dio odnosi se na podmirivanje duga komunalne naknade, prilikom prodaje gospodarskog objekta tvrtke u stečaju.</w:t>
      </w:r>
      <w:r w:rsidR="000764CC" w:rsidRPr="008D05F9">
        <w:rPr>
          <w:rFonts w:ascii="Arial" w:hAnsi="Arial" w:cs="Arial"/>
        </w:rPr>
        <w:t xml:space="preserve"> </w:t>
      </w:r>
    </w:p>
    <w:p w14:paraId="2F809E7C" w14:textId="62C0D421" w:rsidR="00101559" w:rsidRPr="008D05F9" w:rsidRDefault="00101559" w:rsidP="0048640D">
      <w:pPr>
        <w:jc w:val="both"/>
        <w:rPr>
          <w:rFonts w:ascii="Arial" w:hAnsi="Arial" w:cs="Arial"/>
        </w:rPr>
      </w:pPr>
      <w:r w:rsidRPr="00F3223B">
        <w:rPr>
          <w:rFonts w:ascii="Arial" w:hAnsi="Arial" w:cs="Arial"/>
          <w:b/>
          <w:bCs/>
        </w:rPr>
        <w:t>AOP1</w:t>
      </w:r>
      <w:r w:rsidR="008C5CBE">
        <w:rPr>
          <w:rFonts w:ascii="Arial" w:hAnsi="Arial" w:cs="Arial"/>
          <w:b/>
          <w:bCs/>
        </w:rPr>
        <w:t>70</w:t>
      </w:r>
      <w:r w:rsidR="00F3223B">
        <w:rPr>
          <w:rFonts w:ascii="Arial" w:hAnsi="Arial" w:cs="Arial"/>
        </w:rPr>
        <w:t xml:space="preserve"> (Obveze) </w:t>
      </w:r>
      <w:r w:rsidR="008C5CBE">
        <w:rPr>
          <w:rFonts w:ascii="Arial" w:hAnsi="Arial" w:cs="Arial"/>
        </w:rPr>
        <w:t>su manje 25,7</w:t>
      </w:r>
      <w:r w:rsidR="00F3223B">
        <w:rPr>
          <w:rFonts w:ascii="Arial" w:hAnsi="Arial" w:cs="Arial"/>
        </w:rPr>
        <w:t xml:space="preserve">% u odnosu na početak godine, </w:t>
      </w:r>
      <w:r w:rsidR="008C5CBE">
        <w:rPr>
          <w:rFonts w:ascii="Arial" w:hAnsi="Arial" w:cs="Arial"/>
        </w:rPr>
        <w:t>najveći dio odnosi se na nabavu nefinancijske imovine.</w:t>
      </w:r>
    </w:p>
    <w:p w14:paraId="0C9A9A12" w14:textId="3FB6CF5F" w:rsidR="008B3AB1" w:rsidRPr="008D05F9" w:rsidRDefault="000942BA" w:rsidP="0048640D">
      <w:pPr>
        <w:jc w:val="both"/>
        <w:rPr>
          <w:rFonts w:ascii="Arial" w:hAnsi="Arial" w:cs="Arial"/>
        </w:rPr>
      </w:pPr>
      <w:r w:rsidRPr="008D05F9">
        <w:rPr>
          <w:rFonts w:ascii="Arial" w:hAnsi="Arial" w:cs="Arial"/>
          <w:b/>
        </w:rPr>
        <w:t>AOP 23</w:t>
      </w:r>
      <w:r w:rsidR="008D05F9" w:rsidRPr="008D05F9">
        <w:rPr>
          <w:rFonts w:ascii="Arial" w:hAnsi="Arial" w:cs="Arial"/>
          <w:b/>
        </w:rPr>
        <w:t>9</w:t>
      </w:r>
      <w:r w:rsidRPr="008D05F9">
        <w:rPr>
          <w:rFonts w:ascii="Arial" w:hAnsi="Arial" w:cs="Arial"/>
        </w:rPr>
        <w:t xml:space="preserve"> (Višak prihoda poslovanja) – </w:t>
      </w:r>
      <w:r w:rsidR="00740013">
        <w:rPr>
          <w:rFonts w:ascii="Arial" w:hAnsi="Arial" w:cs="Arial"/>
        </w:rPr>
        <w:t xml:space="preserve">veći je za 49,1%, </w:t>
      </w:r>
      <w:r w:rsidR="0005180E" w:rsidRPr="008D05F9">
        <w:rPr>
          <w:rFonts w:ascii="Arial" w:hAnsi="Arial" w:cs="Arial"/>
        </w:rPr>
        <w:t>naj</w:t>
      </w:r>
      <w:r w:rsidR="008B3AB1" w:rsidRPr="008D05F9">
        <w:rPr>
          <w:rFonts w:ascii="Arial" w:hAnsi="Arial" w:cs="Arial"/>
        </w:rPr>
        <w:t>većim dijelom odnosi se na namjenska sredstva za projek</w:t>
      </w:r>
      <w:r w:rsidR="0005180E" w:rsidRPr="008D05F9">
        <w:rPr>
          <w:rFonts w:ascii="Arial" w:hAnsi="Arial" w:cs="Arial"/>
        </w:rPr>
        <w:t>te koji će se realizirati u 2</w:t>
      </w:r>
      <w:r w:rsidR="00A148C3" w:rsidRPr="008D05F9">
        <w:rPr>
          <w:rFonts w:ascii="Arial" w:hAnsi="Arial" w:cs="Arial"/>
        </w:rPr>
        <w:t>02</w:t>
      </w:r>
      <w:r w:rsidR="00740013">
        <w:rPr>
          <w:rFonts w:ascii="Arial" w:hAnsi="Arial" w:cs="Arial"/>
        </w:rPr>
        <w:t>2</w:t>
      </w:r>
      <w:r w:rsidR="008B3AB1" w:rsidRPr="008D05F9">
        <w:rPr>
          <w:rFonts w:ascii="Arial" w:hAnsi="Arial" w:cs="Arial"/>
        </w:rPr>
        <w:t>. godini.</w:t>
      </w:r>
      <w:r w:rsidR="00636879" w:rsidRPr="008D05F9">
        <w:rPr>
          <w:rFonts w:ascii="Arial" w:hAnsi="Arial" w:cs="Arial"/>
        </w:rPr>
        <w:t xml:space="preserve"> </w:t>
      </w:r>
    </w:p>
    <w:p w14:paraId="22155180" w14:textId="77777777" w:rsidR="00015864" w:rsidRPr="00F250FE" w:rsidRDefault="00015864" w:rsidP="0048640D">
      <w:pPr>
        <w:jc w:val="both"/>
        <w:rPr>
          <w:rFonts w:ascii="Arial" w:hAnsi="Arial" w:cs="Arial"/>
          <w:highlight w:val="yellow"/>
        </w:rPr>
      </w:pPr>
    </w:p>
    <w:p w14:paraId="53B8A3D9" w14:textId="77777777" w:rsidR="0048640D" w:rsidRPr="00456656" w:rsidRDefault="0048640D" w:rsidP="0048640D">
      <w:pPr>
        <w:jc w:val="both"/>
        <w:rPr>
          <w:rFonts w:ascii="Arial" w:hAnsi="Arial" w:cs="Arial"/>
          <w:b/>
          <w:sz w:val="24"/>
          <w:szCs w:val="24"/>
        </w:rPr>
      </w:pPr>
      <w:r w:rsidRPr="00456656">
        <w:rPr>
          <w:rFonts w:ascii="Arial" w:hAnsi="Arial" w:cs="Arial"/>
          <w:b/>
          <w:sz w:val="24"/>
          <w:szCs w:val="24"/>
        </w:rPr>
        <w:t>Bilješke uz Izvještaj o prihodima i rashodima, primicima i izdacima (obrazac PR-RAS)</w:t>
      </w:r>
    </w:p>
    <w:p w14:paraId="6D729332" w14:textId="77777777" w:rsidR="0048640D" w:rsidRPr="00456656" w:rsidRDefault="0048640D" w:rsidP="0048640D">
      <w:pPr>
        <w:jc w:val="both"/>
        <w:rPr>
          <w:rFonts w:ascii="Arial" w:hAnsi="Arial" w:cs="Arial"/>
        </w:rPr>
      </w:pPr>
      <w:r w:rsidRPr="00456656">
        <w:rPr>
          <w:rFonts w:ascii="Arial" w:hAnsi="Arial" w:cs="Arial"/>
        </w:rPr>
        <w:lastRenderedPageBreak/>
        <w:t>U nastavku se obrazlaže kretanje prihoda i rashoda u odnosu na prethodnu godinu:</w:t>
      </w:r>
    </w:p>
    <w:tbl>
      <w:tblPr>
        <w:tblW w:w="9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26505D" w14:paraId="67A3C9B8" w14:textId="77777777" w:rsidTr="0026505D">
        <w:trPr>
          <w:trHeight w:val="255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06EC4B" w14:textId="40A16F87" w:rsidR="0026505D" w:rsidRDefault="00D163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56656">
              <w:rPr>
                <w:rFonts w:ascii="Arial" w:hAnsi="Arial" w:cs="Arial"/>
                <w:b/>
              </w:rPr>
              <w:t xml:space="preserve">AOP 001 </w:t>
            </w:r>
            <w:r w:rsidRPr="00456656">
              <w:rPr>
                <w:rFonts w:ascii="Arial" w:hAnsi="Arial" w:cs="Arial"/>
              </w:rPr>
              <w:t>(prihodi poslovanja</w:t>
            </w:r>
            <w:r w:rsidR="0048640D" w:rsidRPr="00456656">
              <w:rPr>
                <w:rFonts w:ascii="Arial" w:hAnsi="Arial" w:cs="Arial"/>
              </w:rPr>
              <w:t>)</w:t>
            </w:r>
            <w:r w:rsidR="005F67A2" w:rsidRPr="00456656">
              <w:rPr>
                <w:rFonts w:ascii="Arial" w:hAnsi="Arial" w:cs="Arial"/>
              </w:rPr>
              <w:t xml:space="preserve"> – </w:t>
            </w:r>
            <w:r w:rsidR="00617C52">
              <w:rPr>
                <w:rFonts w:ascii="Arial" w:hAnsi="Arial" w:cs="Arial"/>
              </w:rPr>
              <w:t>manji su za 4,7% u odnosu na prethodno iz</w:t>
            </w:r>
            <w:r w:rsidR="000072A1">
              <w:rPr>
                <w:rFonts w:ascii="Arial" w:hAnsi="Arial" w:cs="Arial"/>
              </w:rPr>
              <w:t>v</w:t>
            </w:r>
            <w:r w:rsidR="00617C52">
              <w:rPr>
                <w:rFonts w:ascii="Arial" w:hAnsi="Arial" w:cs="Arial"/>
              </w:rPr>
              <w:t xml:space="preserve">ještajno razdoblje. </w:t>
            </w:r>
            <w:r w:rsidR="0026505D">
              <w:rPr>
                <w:rFonts w:ascii="Arial" w:hAnsi="Arial" w:cs="Arial"/>
              </w:rPr>
              <w:t xml:space="preserve">Razlog većih prihoda prethodne godine, jesu </w:t>
            </w:r>
            <w:r w:rsidR="005F64EF">
              <w:rPr>
                <w:rFonts w:ascii="Arial" w:hAnsi="Arial" w:cs="Arial"/>
              </w:rPr>
              <w:t xml:space="preserve">ostvareni prihodi tj. </w:t>
            </w:r>
            <w:r w:rsidR="0026505D">
              <w:rPr>
                <w:rFonts w:ascii="Arial" w:hAnsi="Arial" w:cs="Arial"/>
              </w:rPr>
              <w:t>k</w:t>
            </w:r>
            <w:r w:rsidR="005F64EF">
              <w:rPr>
                <w:rFonts w:ascii="Arial" w:hAnsi="Arial" w:cs="Arial"/>
              </w:rPr>
              <w:t xml:space="preserve">apitalne pomoći od institucija i tijela EU u iznosu od </w:t>
            </w:r>
            <w:r w:rsidR="00456656" w:rsidRPr="00456656">
              <w:rPr>
                <w:rFonts w:ascii="Arial" w:hAnsi="Arial" w:cs="Arial"/>
              </w:rPr>
              <w:t xml:space="preserve"> 3.603.484,00 kuna, </w:t>
            </w:r>
            <w:r w:rsidR="0026505D">
              <w:rPr>
                <w:rFonts w:ascii="Arial" w:hAnsi="Arial" w:cs="Arial"/>
              </w:rPr>
              <w:t xml:space="preserve">za projekt poduzetnički inkubator </w:t>
            </w:r>
            <w:proofErr w:type="spellStart"/>
            <w:r w:rsidR="0026505D">
              <w:rPr>
                <w:rFonts w:ascii="Arial" w:hAnsi="Arial" w:cs="Arial"/>
              </w:rPr>
              <w:t>Verzi</w:t>
            </w:r>
            <w:proofErr w:type="spellEnd"/>
            <w:r w:rsidR="0026505D">
              <w:rPr>
                <w:rFonts w:ascii="Arial" w:hAnsi="Arial" w:cs="Arial"/>
              </w:rPr>
              <w:t xml:space="preserve">, te tekuće pomoći od međunarodnih organizacija za projekt </w:t>
            </w:r>
            <w:proofErr w:type="spellStart"/>
            <w:r w:rsidR="0026505D">
              <w:rPr>
                <w:rFonts w:ascii="Arial" w:hAnsi="Arial" w:cs="Arial"/>
              </w:rPr>
              <w:t>Restaura</w:t>
            </w:r>
            <w:proofErr w:type="spellEnd"/>
            <w:r w:rsidR="0026505D">
              <w:rPr>
                <w:rFonts w:ascii="Arial" w:hAnsi="Arial" w:cs="Arial"/>
              </w:rPr>
              <w:t xml:space="preserve"> i Life </w:t>
            </w:r>
            <w:proofErr w:type="spellStart"/>
            <w:r w:rsidR="0026505D">
              <w:rPr>
                <w:rFonts w:ascii="Arial" w:hAnsi="Arial" w:cs="Arial"/>
              </w:rPr>
              <w:t>sec</w:t>
            </w:r>
            <w:proofErr w:type="spellEnd"/>
            <w:r w:rsidR="0026505D">
              <w:rPr>
                <w:rFonts w:ascii="Arial" w:hAnsi="Arial" w:cs="Arial"/>
              </w:rPr>
              <w:t xml:space="preserve"> </w:t>
            </w:r>
            <w:proofErr w:type="spellStart"/>
            <w:r w:rsidR="0026505D">
              <w:rPr>
                <w:rFonts w:ascii="Arial" w:hAnsi="Arial" w:cs="Arial"/>
              </w:rPr>
              <w:t>adapt</w:t>
            </w:r>
            <w:proofErr w:type="spellEnd"/>
            <w:r w:rsidR="0026505D">
              <w:rPr>
                <w:rFonts w:ascii="Arial" w:hAnsi="Arial" w:cs="Arial"/>
              </w:rPr>
              <w:t xml:space="preserve"> u iznosu 508.307,00 kuna.</w:t>
            </w:r>
          </w:p>
        </w:tc>
      </w:tr>
    </w:tbl>
    <w:p w14:paraId="5F85DD6C" w14:textId="2BEEC322" w:rsidR="00C46D70" w:rsidRPr="00456656" w:rsidRDefault="0026505D" w:rsidP="004864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D8C669B" w14:textId="1C866570" w:rsidR="00806BB3" w:rsidRDefault="004058AF" w:rsidP="0048640D">
      <w:pPr>
        <w:jc w:val="both"/>
        <w:rPr>
          <w:rFonts w:ascii="Arial" w:hAnsi="Arial" w:cs="Arial"/>
          <w:highlight w:val="yellow"/>
        </w:rPr>
      </w:pPr>
      <w:r w:rsidRPr="00806BB3">
        <w:rPr>
          <w:rFonts w:ascii="Arial" w:hAnsi="Arial" w:cs="Arial"/>
          <w:b/>
        </w:rPr>
        <w:t>AOP 003</w:t>
      </w:r>
      <w:r w:rsidRPr="00806BB3">
        <w:rPr>
          <w:rFonts w:ascii="Arial" w:hAnsi="Arial" w:cs="Arial"/>
        </w:rPr>
        <w:t xml:space="preserve"> (porez i prirez na dohodak) </w:t>
      </w:r>
      <w:r w:rsidR="00BB3CCF" w:rsidRPr="00806BB3">
        <w:rPr>
          <w:rFonts w:ascii="Arial" w:hAnsi="Arial" w:cs="Arial"/>
        </w:rPr>
        <w:t xml:space="preserve">– ostvaren je </w:t>
      </w:r>
      <w:r w:rsidR="005F64EF">
        <w:rPr>
          <w:rFonts w:ascii="Arial" w:hAnsi="Arial" w:cs="Arial"/>
        </w:rPr>
        <w:t xml:space="preserve">21,9% više nego u </w:t>
      </w:r>
      <w:r w:rsidR="00D370AA" w:rsidRPr="00806BB3">
        <w:rPr>
          <w:rFonts w:ascii="Arial" w:hAnsi="Arial" w:cs="Arial"/>
        </w:rPr>
        <w:t>istom izvještajnom razdoblju prethod</w:t>
      </w:r>
      <w:r w:rsidR="00BB3CCF" w:rsidRPr="00806BB3">
        <w:rPr>
          <w:rFonts w:ascii="Arial" w:hAnsi="Arial" w:cs="Arial"/>
        </w:rPr>
        <w:t xml:space="preserve">ne godine i iznosi </w:t>
      </w:r>
      <w:r w:rsidR="005F64EF">
        <w:rPr>
          <w:rFonts w:ascii="Arial" w:hAnsi="Arial" w:cs="Arial"/>
        </w:rPr>
        <w:t>14.095.000,00</w:t>
      </w:r>
      <w:r w:rsidR="00D370AA" w:rsidRPr="00806BB3">
        <w:rPr>
          <w:rFonts w:ascii="Arial" w:hAnsi="Arial" w:cs="Arial"/>
        </w:rPr>
        <w:t xml:space="preserve"> kuna</w:t>
      </w:r>
      <w:r w:rsidR="00200D77" w:rsidRPr="00806BB3">
        <w:rPr>
          <w:rFonts w:ascii="Arial" w:hAnsi="Arial" w:cs="Arial"/>
        </w:rPr>
        <w:t xml:space="preserve">. </w:t>
      </w:r>
      <w:r w:rsidR="005F64EF">
        <w:rPr>
          <w:rFonts w:ascii="Arial" w:hAnsi="Arial" w:cs="Arial"/>
        </w:rPr>
        <w:t xml:space="preserve">Pozitivan je trend oporavka gospodarstva u odnosu na  prethodnu godinu u kojoj je učinak epidemije </w:t>
      </w:r>
      <w:proofErr w:type="spellStart"/>
      <w:r w:rsidR="005F64EF">
        <w:rPr>
          <w:rFonts w:ascii="Arial" w:hAnsi="Arial" w:cs="Arial"/>
        </w:rPr>
        <w:t>koronavirusa</w:t>
      </w:r>
      <w:proofErr w:type="spellEnd"/>
      <w:r w:rsidR="005F64EF">
        <w:rPr>
          <w:rFonts w:ascii="Arial" w:hAnsi="Arial" w:cs="Arial"/>
        </w:rPr>
        <w:t xml:space="preserve"> COVID-19 </w:t>
      </w:r>
      <w:r w:rsidR="00E11A99" w:rsidRPr="0026505D">
        <w:rPr>
          <w:rFonts w:ascii="Arial" w:hAnsi="Arial" w:cs="Arial"/>
        </w:rPr>
        <w:t xml:space="preserve">prouzročio negativne </w:t>
      </w:r>
      <w:r w:rsidR="005F64EF" w:rsidRPr="0026505D">
        <w:rPr>
          <w:rFonts w:ascii="Arial" w:hAnsi="Arial" w:cs="Arial"/>
        </w:rPr>
        <w:t>posljedice</w:t>
      </w:r>
      <w:r w:rsidR="00E11A99">
        <w:rPr>
          <w:rFonts w:ascii="Arial" w:hAnsi="Arial" w:cs="Arial"/>
        </w:rPr>
        <w:t>.</w:t>
      </w:r>
    </w:p>
    <w:p w14:paraId="7E491123" w14:textId="520AAC60" w:rsidR="000A685A" w:rsidRPr="001D65B5" w:rsidRDefault="0048640D" w:rsidP="0048640D">
      <w:pPr>
        <w:jc w:val="both"/>
        <w:rPr>
          <w:rFonts w:ascii="Arial" w:hAnsi="Arial" w:cs="Arial"/>
        </w:rPr>
      </w:pPr>
      <w:r w:rsidRPr="001D65B5">
        <w:rPr>
          <w:rFonts w:ascii="Arial" w:hAnsi="Arial" w:cs="Arial"/>
          <w:b/>
        </w:rPr>
        <w:t xml:space="preserve">AOP 018 </w:t>
      </w:r>
      <w:r w:rsidRPr="001D65B5">
        <w:rPr>
          <w:rFonts w:ascii="Arial" w:hAnsi="Arial" w:cs="Arial"/>
        </w:rPr>
        <w:t xml:space="preserve">(Porezi na imovinu) – </w:t>
      </w:r>
      <w:r w:rsidR="00FA5CC6" w:rsidRPr="001D65B5">
        <w:rPr>
          <w:rFonts w:ascii="Arial" w:hAnsi="Arial" w:cs="Arial"/>
        </w:rPr>
        <w:t xml:space="preserve">ostvareni su </w:t>
      </w:r>
      <w:r w:rsidR="00806BB3" w:rsidRPr="001D65B5">
        <w:rPr>
          <w:rFonts w:ascii="Arial" w:hAnsi="Arial" w:cs="Arial"/>
        </w:rPr>
        <w:t xml:space="preserve">za </w:t>
      </w:r>
      <w:r w:rsidR="007C34F7">
        <w:rPr>
          <w:rFonts w:ascii="Arial" w:hAnsi="Arial" w:cs="Arial"/>
        </w:rPr>
        <w:t>55,2% veći u odnosu na prethodnu 2020. godinu, najveći dio odnosi se na porez na promet nekretnina koji je ostvaren u iznosu od  1.568.621,00 kuna</w:t>
      </w:r>
      <w:r w:rsidR="001D65B5" w:rsidRPr="001D65B5">
        <w:rPr>
          <w:rFonts w:ascii="Arial" w:hAnsi="Arial" w:cs="Arial"/>
        </w:rPr>
        <w:t>.</w:t>
      </w:r>
    </w:p>
    <w:tbl>
      <w:tblPr>
        <w:tblW w:w="9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BE34DD" w14:paraId="6FD9CD8A" w14:textId="77777777" w:rsidTr="00BE34DD">
        <w:trPr>
          <w:trHeight w:val="255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5367F4" w14:textId="58C7EEBB" w:rsidR="00BE34DD" w:rsidRDefault="00E740F3">
            <w:pPr>
              <w:spacing w:after="0" w:line="240" w:lineRule="auto"/>
              <w:rPr>
                <w:rFonts w:ascii="Arial" w:hAnsi="Arial" w:cs="Arial"/>
              </w:rPr>
            </w:pPr>
            <w:r w:rsidRPr="002F474A">
              <w:rPr>
                <w:rFonts w:ascii="Arial" w:hAnsi="Arial" w:cs="Arial"/>
                <w:b/>
              </w:rPr>
              <w:t>AOP 045</w:t>
            </w:r>
            <w:r w:rsidR="0048640D" w:rsidRPr="002F474A">
              <w:rPr>
                <w:rFonts w:ascii="Arial" w:hAnsi="Arial" w:cs="Arial"/>
                <w:b/>
              </w:rPr>
              <w:t xml:space="preserve"> </w:t>
            </w:r>
            <w:r w:rsidR="0048640D" w:rsidRPr="002F474A">
              <w:rPr>
                <w:rFonts w:ascii="Arial" w:hAnsi="Arial" w:cs="Arial"/>
              </w:rPr>
              <w:t>(Pomoći iz inozemstva i od subjekata unutar općeg proračuna)</w:t>
            </w:r>
            <w:r w:rsidR="00A06C14" w:rsidRPr="002F474A">
              <w:rPr>
                <w:rFonts w:ascii="Arial" w:hAnsi="Arial" w:cs="Arial"/>
              </w:rPr>
              <w:t xml:space="preserve"> – </w:t>
            </w:r>
            <w:r w:rsidR="000072A1">
              <w:rPr>
                <w:rFonts w:ascii="Arial" w:hAnsi="Arial" w:cs="Arial"/>
              </w:rPr>
              <w:t xml:space="preserve">ostvarene su 58,5% </w:t>
            </w:r>
            <w:r w:rsidR="00BE34DD">
              <w:rPr>
                <w:rFonts w:ascii="Arial" w:hAnsi="Arial" w:cs="Arial"/>
              </w:rPr>
              <w:t xml:space="preserve">tj. Prihodi su manji za 5.692.324,00 kuna, </w:t>
            </w:r>
            <w:r w:rsidR="000072A1">
              <w:rPr>
                <w:rFonts w:ascii="Arial" w:hAnsi="Arial" w:cs="Arial"/>
              </w:rPr>
              <w:t>u odnosu na prošlu 2020. godinu, u kojoj je realizirana polovica ka</w:t>
            </w:r>
            <w:r w:rsidR="00254D2A" w:rsidRPr="002F474A">
              <w:rPr>
                <w:rFonts w:ascii="Arial" w:hAnsi="Arial" w:cs="Arial"/>
              </w:rPr>
              <w:t>pitaln</w:t>
            </w:r>
            <w:r w:rsidR="000072A1">
              <w:rPr>
                <w:rFonts w:ascii="Arial" w:hAnsi="Arial" w:cs="Arial"/>
              </w:rPr>
              <w:t>e</w:t>
            </w:r>
            <w:r w:rsidR="00254D2A" w:rsidRPr="002F474A">
              <w:rPr>
                <w:rFonts w:ascii="Arial" w:hAnsi="Arial" w:cs="Arial"/>
              </w:rPr>
              <w:t xml:space="preserve"> pomoć</w:t>
            </w:r>
            <w:r w:rsidR="000072A1">
              <w:rPr>
                <w:rFonts w:ascii="Arial" w:hAnsi="Arial" w:cs="Arial"/>
              </w:rPr>
              <w:t>i</w:t>
            </w:r>
            <w:r w:rsidR="00254D2A" w:rsidRPr="002F474A">
              <w:rPr>
                <w:rFonts w:ascii="Arial" w:hAnsi="Arial" w:cs="Arial"/>
              </w:rPr>
              <w:t xml:space="preserve"> APPRRR za rekonstrukciju i dogradnju Dječjeg vrtića</w:t>
            </w:r>
            <w:r w:rsidR="000072A1">
              <w:rPr>
                <w:rFonts w:ascii="Arial" w:hAnsi="Arial" w:cs="Arial"/>
              </w:rPr>
              <w:t xml:space="preserve">, </w:t>
            </w:r>
            <w:r w:rsidR="00BE34DD">
              <w:rPr>
                <w:rFonts w:ascii="Arial" w:hAnsi="Arial" w:cs="Arial"/>
              </w:rPr>
              <w:t xml:space="preserve"> te kapitalna pomoć za projekt poduzetnički inkubator </w:t>
            </w:r>
            <w:proofErr w:type="spellStart"/>
            <w:r w:rsidR="00BE34DD">
              <w:rPr>
                <w:rFonts w:ascii="Arial" w:hAnsi="Arial" w:cs="Arial"/>
              </w:rPr>
              <w:t>Verzi</w:t>
            </w:r>
            <w:proofErr w:type="spellEnd"/>
            <w:r w:rsidR="00BE34DD">
              <w:rPr>
                <w:rFonts w:ascii="Arial" w:hAnsi="Arial" w:cs="Arial"/>
              </w:rPr>
              <w:t>.</w:t>
            </w:r>
          </w:p>
          <w:p w14:paraId="10358270" w14:textId="34C3CB1A" w:rsidR="00BE34DD" w:rsidRDefault="00BE34D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</w:tbl>
    <w:p w14:paraId="6B60859A" w14:textId="26C67161" w:rsidR="002865A5" w:rsidRPr="002F474A" w:rsidRDefault="002865A5" w:rsidP="00E740F3">
      <w:pPr>
        <w:jc w:val="both"/>
        <w:rPr>
          <w:rFonts w:ascii="Arial" w:hAnsi="Arial" w:cs="Arial"/>
        </w:rPr>
      </w:pPr>
      <w:r w:rsidRPr="008A2ECA">
        <w:rPr>
          <w:rFonts w:ascii="Arial" w:hAnsi="Arial" w:cs="Arial"/>
          <w:b/>
        </w:rPr>
        <w:t>AOP 08</w:t>
      </w:r>
      <w:r w:rsidR="00BE34DD">
        <w:rPr>
          <w:rFonts w:ascii="Arial" w:hAnsi="Arial" w:cs="Arial"/>
          <w:b/>
        </w:rPr>
        <w:t>6</w:t>
      </w:r>
      <w:r>
        <w:rPr>
          <w:rFonts w:ascii="Arial" w:hAnsi="Arial" w:cs="Arial"/>
        </w:rPr>
        <w:t xml:space="preserve"> (Prihodi od nefinancijske imovine )- </w:t>
      </w:r>
      <w:r w:rsidR="00BE34DD">
        <w:rPr>
          <w:rFonts w:ascii="Arial" w:hAnsi="Arial" w:cs="Arial"/>
        </w:rPr>
        <w:t>veći su za 57,7% u odnosu na prethodnu godinu, a odnose se najvećim dijelom na prihode od zakupa i iznajmljivanja imovine.</w:t>
      </w:r>
    </w:p>
    <w:p w14:paraId="70F2582F" w14:textId="1C5FAC8B" w:rsidR="0060127E" w:rsidRDefault="000A685A" w:rsidP="008154B3">
      <w:pPr>
        <w:jc w:val="both"/>
        <w:rPr>
          <w:rFonts w:ascii="Arial" w:hAnsi="Arial" w:cs="Arial"/>
        </w:rPr>
      </w:pPr>
      <w:r w:rsidRPr="005211CD">
        <w:rPr>
          <w:rFonts w:ascii="Arial" w:hAnsi="Arial" w:cs="Arial"/>
        </w:rPr>
        <w:t xml:space="preserve"> </w:t>
      </w:r>
      <w:r w:rsidR="0060127E" w:rsidRPr="005211CD">
        <w:rPr>
          <w:rFonts w:ascii="Arial" w:hAnsi="Arial" w:cs="Arial"/>
          <w:b/>
        </w:rPr>
        <w:t>AOP 1</w:t>
      </w:r>
      <w:r w:rsidR="00FE52F6">
        <w:rPr>
          <w:rFonts w:ascii="Arial" w:hAnsi="Arial" w:cs="Arial"/>
          <w:b/>
        </w:rPr>
        <w:t>01</w:t>
      </w:r>
      <w:r w:rsidR="004748F3" w:rsidRPr="005211CD">
        <w:rPr>
          <w:rFonts w:ascii="Arial" w:hAnsi="Arial" w:cs="Arial"/>
        </w:rPr>
        <w:t xml:space="preserve"> (prihodi po posebnim</w:t>
      </w:r>
      <w:r w:rsidR="002B199A" w:rsidRPr="005211CD">
        <w:rPr>
          <w:rFonts w:ascii="Arial" w:hAnsi="Arial" w:cs="Arial"/>
        </w:rPr>
        <w:t xml:space="preserve"> propisima) – </w:t>
      </w:r>
      <w:r w:rsidR="00FE52F6">
        <w:rPr>
          <w:rFonts w:ascii="Arial" w:hAnsi="Arial" w:cs="Arial"/>
        </w:rPr>
        <w:t>ostvareno je  44,5% manje u odnosu na 2020 godinu a odnose se na prihode od prodaje</w:t>
      </w:r>
      <w:r w:rsidR="0060127E" w:rsidRPr="005211CD">
        <w:rPr>
          <w:rFonts w:ascii="Arial" w:hAnsi="Arial" w:cs="Arial"/>
        </w:rPr>
        <w:t xml:space="preserve"> grobnih mjesta, </w:t>
      </w:r>
      <w:r w:rsidR="009E1DB0" w:rsidRPr="005211CD">
        <w:rPr>
          <w:rFonts w:ascii="Arial" w:hAnsi="Arial" w:cs="Arial"/>
        </w:rPr>
        <w:t>prihode APN-a i ostal</w:t>
      </w:r>
      <w:r w:rsidR="00FE52F6">
        <w:rPr>
          <w:rFonts w:ascii="Arial" w:hAnsi="Arial" w:cs="Arial"/>
        </w:rPr>
        <w:t>ih nespomenutih prihoda</w:t>
      </w:r>
      <w:r w:rsidR="009E1DB0" w:rsidRPr="005211CD">
        <w:rPr>
          <w:rFonts w:ascii="Arial" w:hAnsi="Arial" w:cs="Arial"/>
        </w:rPr>
        <w:t>.</w:t>
      </w:r>
      <w:r w:rsidR="004748F3" w:rsidRPr="005211CD">
        <w:rPr>
          <w:rFonts w:ascii="Arial" w:hAnsi="Arial" w:cs="Arial"/>
        </w:rPr>
        <w:t xml:space="preserve"> </w:t>
      </w:r>
    </w:p>
    <w:p w14:paraId="1C2DEB01" w14:textId="3C351072" w:rsidR="005211CD" w:rsidRDefault="005211CD" w:rsidP="008154B3">
      <w:pPr>
        <w:jc w:val="both"/>
        <w:rPr>
          <w:rFonts w:ascii="Arial" w:hAnsi="Arial" w:cs="Arial"/>
        </w:rPr>
      </w:pPr>
      <w:r w:rsidRPr="005211CD">
        <w:rPr>
          <w:rFonts w:ascii="Arial" w:hAnsi="Arial" w:cs="Arial"/>
          <w:b/>
        </w:rPr>
        <w:t>AOP 11</w:t>
      </w:r>
      <w:r w:rsidR="00FE52F6">
        <w:rPr>
          <w:rFonts w:ascii="Arial" w:hAnsi="Arial" w:cs="Arial"/>
          <w:b/>
        </w:rPr>
        <w:t>5</w:t>
      </w:r>
      <w:r>
        <w:rPr>
          <w:rFonts w:ascii="Arial" w:hAnsi="Arial" w:cs="Arial"/>
        </w:rPr>
        <w:t xml:space="preserve"> ( Komunalni doprinosi i naknade ) – ostvareni su </w:t>
      </w:r>
      <w:r w:rsidR="00FE52F6">
        <w:rPr>
          <w:rFonts w:ascii="Arial" w:hAnsi="Arial" w:cs="Arial"/>
        </w:rPr>
        <w:t>16,4% veći u odnosu na prethodnu godinu, uslijed bolje situacije u odnosu na 2020 godinu u kojoj su prim</w:t>
      </w:r>
      <w:r w:rsidR="00847293">
        <w:rPr>
          <w:rFonts w:ascii="Arial" w:hAnsi="Arial" w:cs="Arial"/>
        </w:rPr>
        <w:t>i</w:t>
      </w:r>
      <w:r w:rsidR="00FE52F6">
        <w:rPr>
          <w:rFonts w:ascii="Arial" w:hAnsi="Arial" w:cs="Arial"/>
        </w:rPr>
        <w:t>jenjene mjere za pomoć gospodarstvu pogođenom pandemijom COVID-19  a i u 2021 godini naplaćeni su poveći dugovi za komunalnu naknadu iz prethodnih perioda.</w:t>
      </w:r>
      <w:r>
        <w:rPr>
          <w:rFonts w:ascii="Arial" w:hAnsi="Arial" w:cs="Arial"/>
        </w:rPr>
        <w:t xml:space="preserve"> </w:t>
      </w:r>
    </w:p>
    <w:p w14:paraId="289D3671" w14:textId="125D2199" w:rsidR="002865A5" w:rsidRPr="005211CD" w:rsidRDefault="002865A5" w:rsidP="008154B3">
      <w:pPr>
        <w:jc w:val="both"/>
        <w:rPr>
          <w:rFonts w:ascii="Arial" w:hAnsi="Arial" w:cs="Arial"/>
        </w:rPr>
      </w:pPr>
      <w:r w:rsidRPr="002865A5">
        <w:rPr>
          <w:rFonts w:ascii="Arial" w:hAnsi="Arial" w:cs="Arial"/>
          <w:b/>
        </w:rPr>
        <w:t xml:space="preserve">AOP 193 </w:t>
      </w:r>
      <w:r>
        <w:rPr>
          <w:rFonts w:ascii="Arial" w:hAnsi="Arial" w:cs="Arial"/>
        </w:rPr>
        <w:t xml:space="preserve">( Financijski rashodi ) – </w:t>
      </w:r>
      <w:r w:rsidR="00847293">
        <w:rPr>
          <w:rFonts w:ascii="Arial" w:hAnsi="Arial" w:cs="Arial"/>
        </w:rPr>
        <w:t>bilježe povećanje za 28,3% u odnosu na prethodnu godinu, a uglavnom se odnose na plaćanje kamate po primljenom kreditu za dogradnju i rekonstrukciju dječjeg vrtića „Grdelin“ u iznosu 57.094,00 kune.</w:t>
      </w:r>
    </w:p>
    <w:p w14:paraId="64D34B6A" w14:textId="6AC2988D" w:rsidR="00FB4E85" w:rsidRDefault="00530EFE" w:rsidP="0048640D">
      <w:pPr>
        <w:jc w:val="both"/>
        <w:rPr>
          <w:rFonts w:ascii="Arial" w:hAnsi="Arial" w:cs="Arial"/>
        </w:rPr>
      </w:pPr>
      <w:r w:rsidRPr="00235028">
        <w:rPr>
          <w:rFonts w:ascii="Arial" w:hAnsi="Arial" w:cs="Arial"/>
          <w:b/>
        </w:rPr>
        <w:t>AOP 292</w:t>
      </w:r>
      <w:r w:rsidRPr="00235028">
        <w:rPr>
          <w:rFonts w:ascii="Arial" w:hAnsi="Arial" w:cs="Arial"/>
        </w:rPr>
        <w:t xml:space="preserve"> – prihodi od prodaje nefinancijske imovine </w:t>
      </w:r>
      <w:r w:rsidR="00875E6E">
        <w:rPr>
          <w:rFonts w:ascii="Arial" w:hAnsi="Arial" w:cs="Arial"/>
        </w:rPr>
        <w:t xml:space="preserve"> veći su za 31,9% i uglavnom se odnose na prodaju zemljišta</w:t>
      </w:r>
      <w:r w:rsidR="003F2678" w:rsidRPr="00235028">
        <w:rPr>
          <w:rFonts w:ascii="Arial" w:hAnsi="Arial" w:cs="Arial"/>
        </w:rPr>
        <w:t>.</w:t>
      </w:r>
    </w:p>
    <w:p w14:paraId="46633A7B" w14:textId="67C751AE" w:rsidR="00875E6E" w:rsidRDefault="00875E6E" w:rsidP="0048640D">
      <w:pPr>
        <w:jc w:val="both"/>
        <w:rPr>
          <w:rFonts w:ascii="Arial" w:hAnsi="Arial" w:cs="Arial"/>
        </w:rPr>
      </w:pPr>
    </w:p>
    <w:p w14:paraId="5A7A202B" w14:textId="77777777" w:rsidR="004812C9" w:rsidRPr="00391E71" w:rsidRDefault="004812C9" w:rsidP="0048640D">
      <w:pPr>
        <w:jc w:val="both"/>
        <w:rPr>
          <w:rFonts w:ascii="Arial" w:hAnsi="Arial" w:cs="Arial"/>
          <w:b/>
          <w:sz w:val="24"/>
          <w:szCs w:val="24"/>
        </w:rPr>
      </w:pPr>
      <w:r w:rsidRPr="00391E71">
        <w:rPr>
          <w:rFonts w:ascii="Arial" w:hAnsi="Arial" w:cs="Arial"/>
          <w:b/>
          <w:sz w:val="24"/>
          <w:szCs w:val="24"/>
        </w:rPr>
        <w:t>Bilješke</w:t>
      </w:r>
      <w:r w:rsidR="0028225C" w:rsidRPr="00391E71">
        <w:rPr>
          <w:rFonts w:ascii="Arial" w:hAnsi="Arial" w:cs="Arial"/>
          <w:b/>
          <w:sz w:val="24"/>
          <w:szCs w:val="24"/>
        </w:rPr>
        <w:t xml:space="preserve"> uz I</w:t>
      </w:r>
      <w:r w:rsidRPr="00391E71">
        <w:rPr>
          <w:rFonts w:ascii="Arial" w:hAnsi="Arial" w:cs="Arial"/>
          <w:b/>
          <w:sz w:val="24"/>
          <w:szCs w:val="24"/>
        </w:rPr>
        <w:t>zvještaj o rashodima prema funkcijskoj klasifikaciji</w:t>
      </w:r>
    </w:p>
    <w:p w14:paraId="1A30FC66" w14:textId="777861F5" w:rsidR="00FB4E85" w:rsidRPr="00391E71" w:rsidRDefault="00FB4E85" w:rsidP="0048640D">
      <w:pPr>
        <w:jc w:val="both"/>
        <w:rPr>
          <w:rFonts w:ascii="Arial" w:hAnsi="Arial" w:cs="Arial"/>
        </w:rPr>
      </w:pPr>
      <w:r w:rsidRPr="00391E71">
        <w:rPr>
          <w:rFonts w:ascii="Arial" w:hAnsi="Arial" w:cs="Arial"/>
        </w:rPr>
        <w:t>Ukupni rashodi poslovanja i rashodi za nabavu nefinancijske imovine u iznosu od</w:t>
      </w:r>
      <w:r w:rsidR="00751DFD" w:rsidRPr="00391E71">
        <w:rPr>
          <w:rFonts w:ascii="Arial" w:hAnsi="Arial" w:cs="Arial"/>
        </w:rPr>
        <w:t xml:space="preserve"> </w:t>
      </w:r>
      <w:r w:rsidR="00875E6E">
        <w:rPr>
          <w:rFonts w:ascii="Arial" w:hAnsi="Arial" w:cs="Arial"/>
        </w:rPr>
        <w:t>20.638.551</w:t>
      </w:r>
      <w:r w:rsidR="00D26432" w:rsidRPr="00391E71">
        <w:rPr>
          <w:rFonts w:ascii="Arial" w:hAnsi="Arial" w:cs="Arial"/>
        </w:rPr>
        <w:t>,00</w:t>
      </w:r>
      <w:r w:rsidRPr="00391E71">
        <w:rPr>
          <w:rFonts w:ascii="Arial" w:hAnsi="Arial" w:cs="Arial"/>
        </w:rPr>
        <w:t xml:space="preserve"> kuna raspoređeni su prema funkcijskoj klasifikaciji kako slijedi:</w:t>
      </w:r>
    </w:p>
    <w:p w14:paraId="644F824F" w14:textId="1CFA308F" w:rsidR="00FB4E85" w:rsidRPr="00391E71" w:rsidRDefault="00FB4E85" w:rsidP="00FB4E85">
      <w:pPr>
        <w:spacing w:after="0"/>
        <w:jc w:val="both"/>
        <w:rPr>
          <w:rFonts w:ascii="Arial" w:hAnsi="Arial" w:cs="Arial"/>
        </w:rPr>
      </w:pPr>
      <w:r w:rsidRPr="00391E71">
        <w:rPr>
          <w:rFonts w:ascii="Arial" w:hAnsi="Arial" w:cs="Arial"/>
        </w:rPr>
        <w:t>01 Opće ja</w:t>
      </w:r>
      <w:r w:rsidR="00D15356" w:rsidRPr="00391E71">
        <w:rPr>
          <w:rFonts w:ascii="Arial" w:hAnsi="Arial" w:cs="Arial"/>
        </w:rPr>
        <w:t>vne usluge …………………</w:t>
      </w:r>
      <w:r w:rsidR="00875E6E">
        <w:rPr>
          <w:rFonts w:ascii="Arial" w:hAnsi="Arial" w:cs="Arial"/>
        </w:rPr>
        <w:t>…………….</w:t>
      </w:r>
      <w:r w:rsidR="00D26432" w:rsidRPr="00391E71">
        <w:rPr>
          <w:rFonts w:ascii="Arial" w:hAnsi="Arial" w:cs="Arial"/>
        </w:rPr>
        <w:t>6.</w:t>
      </w:r>
      <w:r w:rsidR="00875E6E">
        <w:rPr>
          <w:rFonts w:ascii="Arial" w:hAnsi="Arial" w:cs="Arial"/>
        </w:rPr>
        <w:t>704.234</w:t>
      </w:r>
      <w:r w:rsidR="00D26432" w:rsidRPr="00391E71">
        <w:rPr>
          <w:rFonts w:ascii="Arial" w:hAnsi="Arial" w:cs="Arial"/>
        </w:rPr>
        <w:t>,00</w:t>
      </w:r>
      <w:r w:rsidRPr="00391E71">
        <w:rPr>
          <w:rFonts w:ascii="Arial" w:hAnsi="Arial" w:cs="Arial"/>
        </w:rPr>
        <w:t xml:space="preserve"> kuna</w:t>
      </w:r>
    </w:p>
    <w:p w14:paraId="594705D0" w14:textId="3CDD07CA" w:rsidR="00FB4E85" w:rsidRPr="00391E71" w:rsidRDefault="00FB4E85" w:rsidP="00FB4E85">
      <w:pPr>
        <w:spacing w:after="0"/>
        <w:jc w:val="both"/>
        <w:rPr>
          <w:rFonts w:ascii="Arial" w:hAnsi="Arial" w:cs="Arial"/>
        </w:rPr>
      </w:pPr>
      <w:r w:rsidRPr="00391E71">
        <w:rPr>
          <w:rFonts w:ascii="Arial" w:hAnsi="Arial" w:cs="Arial"/>
        </w:rPr>
        <w:t>02 Obrana ………………………</w:t>
      </w:r>
      <w:r w:rsidR="00875E6E">
        <w:rPr>
          <w:rFonts w:ascii="Arial" w:hAnsi="Arial" w:cs="Arial"/>
        </w:rPr>
        <w:t xml:space="preserve">…………………….              </w:t>
      </w:r>
      <w:r w:rsidRPr="00391E71">
        <w:rPr>
          <w:rFonts w:ascii="Arial" w:hAnsi="Arial" w:cs="Arial"/>
        </w:rPr>
        <w:t>0</w:t>
      </w:r>
      <w:r w:rsidR="00875E6E">
        <w:rPr>
          <w:rFonts w:ascii="Arial" w:hAnsi="Arial" w:cs="Arial"/>
        </w:rPr>
        <w:t>,00 kuna</w:t>
      </w:r>
    </w:p>
    <w:p w14:paraId="14B6D2BC" w14:textId="4B3AEAA5" w:rsidR="00FB4E85" w:rsidRPr="00391E71" w:rsidRDefault="00FB4E85" w:rsidP="00FB4E85">
      <w:pPr>
        <w:spacing w:after="0"/>
        <w:jc w:val="both"/>
        <w:rPr>
          <w:rFonts w:ascii="Arial" w:hAnsi="Arial" w:cs="Arial"/>
        </w:rPr>
      </w:pPr>
      <w:r w:rsidRPr="00391E71">
        <w:rPr>
          <w:rFonts w:ascii="Arial" w:hAnsi="Arial" w:cs="Arial"/>
        </w:rPr>
        <w:t>03 Javni red</w:t>
      </w:r>
      <w:r w:rsidR="00D15356" w:rsidRPr="00391E71">
        <w:rPr>
          <w:rFonts w:ascii="Arial" w:hAnsi="Arial" w:cs="Arial"/>
        </w:rPr>
        <w:t xml:space="preserve"> i sigurnost ……………………</w:t>
      </w:r>
      <w:r w:rsidR="00875E6E">
        <w:rPr>
          <w:rFonts w:ascii="Arial" w:hAnsi="Arial" w:cs="Arial"/>
        </w:rPr>
        <w:t>…………</w:t>
      </w:r>
      <w:r w:rsidR="00FF2008">
        <w:rPr>
          <w:rFonts w:ascii="Arial" w:hAnsi="Arial" w:cs="Arial"/>
        </w:rPr>
        <w:t xml:space="preserve">  </w:t>
      </w:r>
      <w:r w:rsidR="00875E6E">
        <w:rPr>
          <w:rFonts w:ascii="Arial" w:hAnsi="Arial" w:cs="Arial"/>
        </w:rPr>
        <w:t>386.257</w:t>
      </w:r>
      <w:r w:rsidR="00751DFD" w:rsidRPr="00391E71">
        <w:rPr>
          <w:rFonts w:ascii="Arial" w:hAnsi="Arial" w:cs="Arial"/>
        </w:rPr>
        <w:t>,00</w:t>
      </w:r>
      <w:r w:rsidRPr="00391E71">
        <w:rPr>
          <w:rFonts w:ascii="Arial" w:hAnsi="Arial" w:cs="Arial"/>
        </w:rPr>
        <w:t xml:space="preserve"> kuna</w:t>
      </w:r>
    </w:p>
    <w:p w14:paraId="44BF256D" w14:textId="24FBEB2E" w:rsidR="00FB4E85" w:rsidRPr="00391E71" w:rsidRDefault="00FB4E85" w:rsidP="00FB4E85">
      <w:pPr>
        <w:spacing w:after="0"/>
        <w:jc w:val="both"/>
        <w:rPr>
          <w:rFonts w:ascii="Arial" w:hAnsi="Arial" w:cs="Arial"/>
        </w:rPr>
      </w:pPr>
      <w:r w:rsidRPr="00391E71">
        <w:rPr>
          <w:rFonts w:ascii="Arial" w:hAnsi="Arial" w:cs="Arial"/>
        </w:rPr>
        <w:t>04 Eko</w:t>
      </w:r>
      <w:r w:rsidR="00751DFD" w:rsidRPr="00391E71">
        <w:rPr>
          <w:rFonts w:ascii="Arial" w:hAnsi="Arial" w:cs="Arial"/>
        </w:rPr>
        <w:t>nomski posl</w:t>
      </w:r>
      <w:r w:rsidR="00D15356" w:rsidRPr="00391E71">
        <w:rPr>
          <w:rFonts w:ascii="Arial" w:hAnsi="Arial" w:cs="Arial"/>
        </w:rPr>
        <w:t>ovi……………………</w:t>
      </w:r>
      <w:r w:rsidR="00875E6E">
        <w:rPr>
          <w:rFonts w:ascii="Arial" w:hAnsi="Arial" w:cs="Arial"/>
        </w:rPr>
        <w:t>…………..1.733.649</w:t>
      </w:r>
      <w:r w:rsidR="00751DFD" w:rsidRPr="00391E71">
        <w:rPr>
          <w:rFonts w:ascii="Arial" w:hAnsi="Arial" w:cs="Arial"/>
        </w:rPr>
        <w:t>,00</w:t>
      </w:r>
      <w:r w:rsidRPr="00391E71">
        <w:rPr>
          <w:rFonts w:ascii="Arial" w:hAnsi="Arial" w:cs="Arial"/>
        </w:rPr>
        <w:t xml:space="preserve"> kuna</w:t>
      </w:r>
    </w:p>
    <w:p w14:paraId="740BAA19" w14:textId="60AC4821" w:rsidR="00FB4E85" w:rsidRPr="00391E71" w:rsidRDefault="00FB4E85" w:rsidP="00FB4E85">
      <w:pPr>
        <w:spacing w:after="0"/>
        <w:jc w:val="both"/>
        <w:rPr>
          <w:rFonts w:ascii="Arial" w:hAnsi="Arial" w:cs="Arial"/>
        </w:rPr>
      </w:pPr>
      <w:r w:rsidRPr="00391E71">
        <w:rPr>
          <w:rFonts w:ascii="Arial" w:hAnsi="Arial" w:cs="Arial"/>
        </w:rPr>
        <w:t>05 Zaštit</w:t>
      </w:r>
      <w:r w:rsidR="00D15356" w:rsidRPr="00391E71">
        <w:rPr>
          <w:rFonts w:ascii="Arial" w:hAnsi="Arial" w:cs="Arial"/>
        </w:rPr>
        <w:t>a okoliša…………………………</w:t>
      </w:r>
      <w:r w:rsidR="00875E6E">
        <w:rPr>
          <w:rFonts w:ascii="Arial" w:hAnsi="Arial" w:cs="Arial"/>
        </w:rPr>
        <w:t>…………..1.932.142</w:t>
      </w:r>
      <w:r w:rsidR="00751DFD" w:rsidRPr="00391E71">
        <w:rPr>
          <w:rFonts w:ascii="Arial" w:hAnsi="Arial" w:cs="Arial"/>
        </w:rPr>
        <w:t>,00</w:t>
      </w:r>
      <w:r w:rsidR="00875E6E">
        <w:rPr>
          <w:rFonts w:ascii="Arial" w:hAnsi="Arial" w:cs="Arial"/>
        </w:rPr>
        <w:t xml:space="preserve"> </w:t>
      </w:r>
      <w:r w:rsidRPr="00391E71">
        <w:rPr>
          <w:rFonts w:ascii="Arial" w:hAnsi="Arial" w:cs="Arial"/>
        </w:rPr>
        <w:t>kun</w:t>
      </w:r>
      <w:r w:rsidR="00875E6E">
        <w:rPr>
          <w:rFonts w:ascii="Arial" w:hAnsi="Arial" w:cs="Arial"/>
        </w:rPr>
        <w:t>e</w:t>
      </w:r>
    </w:p>
    <w:p w14:paraId="7E8989AC" w14:textId="71870DDF" w:rsidR="00FB4E85" w:rsidRPr="00391E71" w:rsidRDefault="00FB4E85" w:rsidP="00FB4E85">
      <w:pPr>
        <w:spacing w:after="0"/>
        <w:jc w:val="both"/>
        <w:rPr>
          <w:rFonts w:ascii="Arial" w:hAnsi="Arial" w:cs="Arial"/>
        </w:rPr>
      </w:pPr>
      <w:r w:rsidRPr="00391E71">
        <w:rPr>
          <w:rFonts w:ascii="Arial" w:hAnsi="Arial" w:cs="Arial"/>
        </w:rPr>
        <w:t>06 Usluge unapređenja stan</w:t>
      </w:r>
      <w:r w:rsidR="00E043AC" w:rsidRPr="00391E71">
        <w:rPr>
          <w:rFonts w:ascii="Arial" w:hAnsi="Arial" w:cs="Arial"/>
        </w:rPr>
        <w:t>ovanja i zajednice……</w:t>
      </w:r>
      <w:r w:rsidR="00875E6E">
        <w:rPr>
          <w:rFonts w:ascii="Arial" w:hAnsi="Arial" w:cs="Arial"/>
        </w:rPr>
        <w:t>6.100.025</w:t>
      </w:r>
      <w:r w:rsidR="00751DFD" w:rsidRPr="00391E71">
        <w:rPr>
          <w:rFonts w:ascii="Arial" w:hAnsi="Arial" w:cs="Arial"/>
        </w:rPr>
        <w:t>,00</w:t>
      </w:r>
      <w:r w:rsidRPr="00391E71">
        <w:rPr>
          <w:rFonts w:ascii="Arial" w:hAnsi="Arial" w:cs="Arial"/>
        </w:rPr>
        <w:t xml:space="preserve"> kuna</w:t>
      </w:r>
    </w:p>
    <w:p w14:paraId="7D7390C7" w14:textId="6E615BAE" w:rsidR="00FB4E85" w:rsidRPr="00391E71" w:rsidRDefault="00E043AC" w:rsidP="00FB4E85">
      <w:pPr>
        <w:spacing w:after="0"/>
        <w:jc w:val="both"/>
        <w:rPr>
          <w:rFonts w:ascii="Arial" w:hAnsi="Arial" w:cs="Arial"/>
        </w:rPr>
      </w:pPr>
      <w:r w:rsidRPr="00391E71">
        <w:rPr>
          <w:rFonts w:ascii="Arial" w:hAnsi="Arial" w:cs="Arial"/>
        </w:rPr>
        <w:t>07 Zdravstvo ………………………</w:t>
      </w:r>
      <w:r w:rsidR="00875E6E">
        <w:rPr>
          <w:rFonts w:ascii="Arial" w:hAnsi="Arial" w:cs="Arial"/>
        </w:rPr>
        <w:t>…………………</w:t>
      </w:r>
      <w:r w:rsidR="00FF2008">
        <w:rPr>
          <w:rFonts w:ascii="Arial" w:hAnsi="Arial" w:cs="Arial"/>
        </w:rPr>
        <w:t xml:space="preserve">    3</w:t>
      </w:r>
      <w:r w:rsidR="00875E6E">
        <w:rPr>
          <w:rFonts w:ascii="Arial" w:hAnsi="Arial" w:cs="Arial"/>
        </w:rPr>
        <w:t>99.829,00</w:t>
      </w:r>
      <w:r w:rsidR="00FB4E85" w:rsidRPr="00391E71">
        <w:rPr>
          <w:rFonts w:ascii="Arial" w:hAnsi="Arial" w:cs="Arial"/>
        </w:rPr>
        <w:t xml:space="preserve"> kuna</w:t>
      </w:r>
    </w:p>
    <w:p w14:paraId="558627E4" w14:textId="28072171" w:rsidR="00FB4E85" w:rsidRPr="00391E71" w:rsidRDefault="00FB4E85" w:rsidP="00FB4E85">
      <w:pPr>
        <w:spacing w:after="0"/>
        <w:jc w:val="both"/>
        <w:rPr>
          <w:rFonts w:ascii="Arial" w:hAnsi="Arial" w:cs="Arial"/>
        </w:rPr>
      </w:pPr>
      <w:r w:rsidRPr="00391E71">
        <w:rPr>
          <w:rFonts w:ascii="Arial" w:hAnsi="Arial" w:cs="Arial"/>
        </w:rPr>
        <w:t xml:space="preserve">08 Rekreacija, kultura </w:t>
      </w:r>
      <w:r w:rsidR="00E043AC" w:rsidRPr="00391E71">
        <w:rPr>
          <w:rFonts w:ascii="Arial" w:hAnsi="Arial" w:cs="Arial"/>
        </w:rPr>
        <w:t>i religija …………………</w:t>
      </w:r>
      <w:r w:rsidR="00FF2008">
        <w:rPr>
          <w:rFonts w:ascii="Arial" w:hAnsi="Arial" w:cs="Arial"/>
        </w:rPr>
        <w:t>….. 1.434.407,0</w:t>
      </w:r>
      <w:r w:rsidR="00751DFD" w:rsidRPr="00391E71">
        <w:rPr>
          <w:rFonts w:ascii="Arial" w:hAnsi="Arial" w:cs="Arial"/>
        </w:rPr>
        <w:t>0</w:t>
      </w:r>
      <w:r w:rsidRPr="00391E71">
        <w:rPr>
          <w:rFonts w:ascii="Arial" w:hAnsi="Arial" w:cs="Arial"/>
        </w:rPr>
        <w:t xml:space="preserve"> kuna</w:t>
      </w:r>
    </w:p>
    <w:p w14:paraId="16B52A93" w14:textId="0A8A1557" w:rsidR="00FB4E85" w:rsidRPr="00391E71" w:rsidRDefault="00751DFD" w:rsidP="00FB4E85">
      <w:pPr>
        <w:spacing w:after="0"/>
        <w:jc w:val="both"/>
        <w:rPr>
          <w:rFonts w:ascii="Arial" w:hAnsi="Arial" w:cs="Arial"/>
        </w:rPr>
      </w:pPr>
      <w:r w:rsidRPr="00391E71">
        <w:rPr>
          <w:rFonts w:ascii="Arial" w:hAnsi="Arial" w:cs="Arial"/>
        </w:rPr>
        <w:lastRenderedPageBreak/>
        <w:t xml:space="preserve">09 </w:t>
      </w:r>
      <w:r w:rsidR="00E043AC" w:rsidRPr="00391E71">
        <w:rPr>
          <w:rFonts w:ascii="Arial" w:hAnsi="Arial" w:cs="Arial"/>
        </w:rPr>
        <w:t>Obrazovanje……………………</w:t>
      </w:r>
      <w:r w:rsidR="00FF2008">
        <w:rPr>
          <w:rFonts w:ascii="Arial" w:hAnsi="Arial" w:cs="Arial"/>
        </w:rPr>
        <w:t>………………….</w:t>
      </w:r>
      <w:r w:rsidR="001B0558" w:rsidRPr="00391E71">
        <w:rPr>
          <w:rFonts w:ascii="Arial" w:hAnsi="Arial" w:cs="Arial"/>
        </w:rPr>
        <w:t>1.</w:t>
      </w:r>
      <w:r w:rsidR="00FF2008">
        <w:rPr>
          <w:rFonts w:ascii="Arial" w:hAnsi="Arial" w:cs="Arial"/>
        </w:rPr>
        <w:t>543.573</w:t>
      </w:r>
      <w:r w:rsidRPr="00391E71">
        <w:rPr>
          <w:rFonts w:ascii="Arial" w:hAnsi="Arial" w:cs="Arial"/>
        </w:rPr>
        <w:t>,00</w:t>
      </w:r>
      <w:r w:rsidR="00870E14" w:rsidRPr="00391E71">
        <w:rPr>
          <w:rFonts w:ascii="Arial" w:hAnsi="Arial" w:cs="Arial"/>
        </w:rPr>
        <w:t xml:space="preserve"> kun</w:t>
      </w:r>
      <w:r w:rsidR="00FF2008">
        <w:rPr>
          <w:rFonts w:ascii="Arial" w:hAnsi="Arial" w:cs="Arial"/>
        </w:rPr>
        <w:t>e</w:t>
      </w:r>
    </w:p>
    <w:p w14:paraId="3F2F0D96" w14:textId="6EEE65EC" w:rsidR="00870E14" w:rsidRPr="00391E71" w:rsidRDefault="00870E14" w:rsidP="00FB4E85">
      <w:pPr>
        <w:spacing w:after="0"/>
        <w:jc w:val="both"/>
        <w:rPr>
          <w:rFonts w:ascii="Arial" w:hAnsi="Arial" w:cs="Arial"/>
        </w:rPr>
      </w:pPr>
      <w:r w:rsidRPr="00391E71">
        <w:rPr>
          <w:rFonts w:ascii="Arial" w:hAnsi="Arial" w:cs="Arial"/>
        </w:rPr>
        <w:t>10 So</w:t>
      </w:r>
      <w:r w:rsidR="00E043AC" w:rsidRPr="00391E71">
        <w:rPr>
          <w:rFonts w:ascii="Arial" w:hAnsi="Arial" w:cs="Arial"/>
        </w:rPr>
        <w:t>cijalna zaštita…………………</w:t>
      </w:r>
      <w:r w:rsidR="00FF2008">
        <w:rPr>
          <w:rFonts w:ascii="Arial" w:hAnsi="Arial" w:cs="Arial"/>
        </w:rPr>
        <w:t>…………………..404.435,00</w:t>
      </w:r>
      <w:r w:rsidRPr="00391E71">
        <w:rPr>
          <w:rFonts w:ascii="Arial" w:hAnsi="Arial" w:cs="Arial"/>
        </w:rPr>
        <w:t xml:space="preserve"> kuna</w:t>
      </w:r>
    </w:p>
    <w:p w14:paraId="0B291893" w14:textId="77777777" w:rsidR="00FB4E85" w:rsidRPr="00391E71" w:rsidRDefault="00FB4E85" w:rsidP="00FB4E85">
      <w:pPr>
        <w:spacing w:after="0"/>
        <w:jc w:val="both"/>
        <w:rPr>
          <w:rFonts w:ascii="Arial" w:hAnsi="Arial" w:cs="Arial"/>
        </w:rPr>
      </w:pPr>
    </w:p>
    <w:p w14:paraId="42A07427" w14:textId="0D8E039A" w:rsidR="00883836" w:rsidRPr="00391E71" w:rsidRDefault="009C768C" w:rsidP="00FB4E85">
      <w:pPr>
        <w:spacing w:after="0"/>
        <w:jc w:val="both"/>
        <w:rPr>
          <w:rFonts w:ascii="Arial" w:hAnsi="Arial" w:cs="Arial"/>
        </w:rPr>
      </w:pPr>
      <w:r w:rsidRPr="00391E71">
        <w:rPr>
          <w:rFonts w:ascii="Arial" w:hAnsi="Arial" w:cs="Arial"/>
        </w:rPr>
        <w:t xml:space="preserve">Rashodi za </w:t>
      </w:r>
      <w:r w:rsidR="00391E71" w:rsidRPr="00391E71">
        <w:rPr>
          <w:rFonts w:ascii="Arial" w:hAnsi="Arial" w:cs="Arial"/>
        </w:rPr>
        <w:t xml:space="preserve">obrazovanje su </w:t>
      </w:r>
      <w:r w:rsidR="00FF2008">
        <w:rPr>
          <w:rFonts w:ascii="Arial" w:hAnsi="Arial" w:cs="Arial"/>
        </w:rPr>
        <w:t xml:space="preserve">manji su za 88,4% u odnosu  na 2020 godinu u kojoj je realiziran </w:t>
      </w:r>
      <w:r w:rsidR="00391E71" w:rsidRPr="00391E71">
        <w:rPr>
          <w:rFonts w:ascii="Arial" w:hAnsi="Arial" w:cs="Arial"/>
        </w:rPr>
        <w:t xml:space="preserve"> kapitaln</w:t>
      </w:r>
      <w:r w:rsidR="00FF2008">
        <w:rPr>
          <w:rFonts w:ascii="Arial" w:hAnsi="Arial" w:cs="Arial"/>
        </w:rPr>
        <w:t>i</w:t>
      </w:r>
      <w:r w:rsidR="00391E71" w:rsidRPr="00391E71">
        <w:rPr>
          <w:rFonts w:ascii="Arial" w:hAnsi="Arial" w:cs="Arial"/>
        </w:rPr>
        <w:t xml:space="preserve"> projekt rekonstrukcije i dogradnje Dječjeg vrtića.</w:t>
      </w:r>
    </w:p>
    <w:p w14:paraId="2094D137" w14:textId="77777777" w:rsidR="00391E71" w:rsidRPr="00F250FE" w:rsidRDefault="00391E71" w:rsidP="00FB4E85">
      <w:pPr>
        <w:spacing w:after="0"/>
        <w:jc w:val="both"/>
        <w:rPr>
          <w:rFonts w:ascii="Arial" w:hAnsi="Arial" w:cs="Arial"/>
          <w:highlight w:val="yellow"/>
        </w:rPr>
      </w:pPr>
    </w:p>
    <w:p w14:paraId="082AE4AE" w14:textId="77777777" w:rsidR="00883836" w:rsidRPr="00F250FE" w:rsidRDefault="00883836" w:rsidP="00FB4E85">
      <w:pPr>
        <w:spacing w:after="0"/>
        <w:jc w:val="both"/>
        <w:rPr>
          <w:rFonts w:ascii="Arial" w:hAnsi="Arial" w:cs="Arial"/>
          <w:highlight w:val="yellow"/>
        </w:rPr>
      </w:pPr>
    </w:p>
    <w:p w14:paraId="70939570" w14:textId="77777777" w:rsidR="00FB4E85" w:rsidRPr="00F250FE" w:rsidRDefault="00FB4E85" w:rsidP="00FB4E85">
      <w:pPr>
        <w:spacing w:after="0" w:line="240" w:lineRule="auto"/>
        <w:jc w:val="both"/>
        <w:rPr>
          <w:rFonts w:ascii="Arial" w:hAnsi="Arial" w:cs="Arial"/>
          <w:b/>
          <w:highlight w:val="yellow"/>
        </w:rPr>
      </w:pPr>
    </w:p>
    <w:p w14:paraId="7378DCC8" w14:textId="77777777" w:rsidR="00063EC9" w:rsidRDefault="00063EC9" w:rsidP="0048640D">
      <w:pPr>
        <w:jc w:val="both"/>
        <w:rPr>
          <w:rFonts w:ascii="Arial" w:hAnsi="Arial" w:cs="Arial"/>
          <w:b/>
          <w:sz w:val="24"/>
          <w:szCs w:val="24"/>
        </w:rPr>
      </w:pPr>
    </w:p>
    <w:p w14:paraId="68D8ECA9" w14:textId="3106F885" w:rsidR="00883836" w:rsidRPr="0043390F" w:rsidRDefault="0028225C" w:rsidP="0048640D">
      <w:pPr>
        <w:jc w:val="both"/>
        <w:rPr>
          <w:rFonts w:ascii="Arial" w:hAnsi="Arial" w:cs="Arial"/>
          <w:b/>
          <w:sz w:val="24"/>
          <w:szCs w:val="24"/>
        </w:rPr>
      </w:pPr>
      <w:r w:rsidRPr="0043390F">
        <w:rPr>
          <w:rFonts w:ascii="Arial" w:hAnsi="Arial" w:cs="Arial"/>
          <w:b/>
          <w:sz w:val="24"/>
          <w:szCs w:val="24"/>
        </w:rPr>
        <w:t>Bilješke uz P</w:t>
      </w:r>
      <w:r w:rsidR="004812C9" w:rsidRPr="0043390F">
        <w:rPr>
          <w:rFonts w:ascii="Arial" w:hAnsi="Arial" w:cs="Arial"/>
          <w:b/>
          <w:sz w:val="24"/>
          <w:szCs w:val="24"/>
        </w:rPr>
        <w:t>romjene u vrijednosti i obujmu imovine i obveza</w:t>
      </w:r>
    </w:p>
    <w:p w14:paraId="64FBFCB7" w14:textId="649DD2C3" w:rsidR="00442937" w:rsidRPr="0043390F" w:rsidRDefault="00883836" w:rsidP="0048640D">
      <w:pPr>
        <w:jc w:val="both"/>
        <w:rPr>
          <w:rFonts w:ascii="Arial" w:hAnsi="Arial" w:cs="Arial"/>
        </w:rPr>
      </w:pPr>
      <w:r w:rsidRPr="0043390F">
        <w:rPr>
          <w:rFonts w:ascii="Arial" w:hAnsi="Arial" w:cs="Arial"/>
        </w:rPr>
        <w:t xml:space="preserve">Promjene u vrijednosti i obujmu imovine (AOP 001) su iskazane kroz smanjenje u obujmu imovine </w:t>
      </w:r>
      <w:r w:rsidR="00510650" w:rsidRPr="0043390F">
        <w:rPr>
          <w:rFonts w:ascii="Arial" w:hAnsi="Arial" w:cs="Arial"/>
        </w:rPr>
        <w:t xml:space="preserve">za </w:t>
      </w:r>
      <w:r w:rsidR="00FF2008">
        <w:rPr>
          <w:rFonts w:ascii="Arial" w:hAnsi="Arial" w:cs="Arial"/>
        </w:rPr>
        <w:t>169.773</w:t>
      </w:r>
      <w:r w:rsidR="00391E71" w:rsidRPr="0043390F">
        <w:rPr>
          <w:rFonts w:ascii="Arial" w:hAnsi="Arial" w:cs="Arial"/>
        </w:rPr>
        <w:t>,00</w:t>
      </w:r>
      <w:r w:rsidRPr="0043390F">
        <w:rPr>
          <w:rFonts w:ascii="Arial" w:hAnsi="Arial" w:cs="Arial"/>
        </w:rPr>
        <w:t xml:space="preserve"> kuna, a odnose se na smanjenje potraživanja za prihode poslovanja zbog otpisa potraživanja za tvrtke koje su prestale sa rad</w:t>
      </w:r>
      <w:r w:rsidR="00510650" w:rsidRPr="0043390F">
        <w:rPr>
          <w:rFonts w:ascii="Arial" w:hAnsi="Arial" w:cs="Arial"/>
        </w:rPr>
        <w:t>om zbog stečaja ili likvidacije</w:t>
      </w:r>
      <w:r w:rsidR="00166608">
        <w:rPr>
          <w:rFonts w:ascii="Arial" w:hAnsi="Arial" w:cs="Arial"/>
        </w:rPr>
        <w:t>,</w:t>
      </w:r>
      <w:r w:rsidR="00510650" w:rsidRPr="0043390F">
        <w:rPr>
          <w:rFonts w:ascii="Arial" w:hAnsi="Arial" w:cs="Arial"/>
        </w:rPr>
        <w:t xml:space="preserve"> </w:t>
      </w:r>
      <w:r w:rsidR="0043390F" w:rsidRPr="0043390F">
        <w:rPr>
          <w:rFonts w:ascii="Arial" w:hAnsi="Arial" w:cs="Arial"/>
        </w:rPr>
        <w:t xml:space="preserve"> smanjenje zbog otpisa potraživanja za komunalni doprinos, naknade, zakup poslovnih prostora i javnih površina kao pomoć za prevladavanje poteškoća u poslovanju zbog epidemije virusa COVID-19</w:t>
      </w:r>
      <w:r w:rsidR="00166608">
        <w:rPr>
          <w:rFonts w:ascii="Arial" w:hAnsi="Arial" w:cs="Arial"/>
        </w:rPr>
        <w:t>, početkom 2021 godine</w:t>
      </w:r>
      <w:r w:rsidR="0043390F" w:rsidRPr="0043390F">
        <w:rPr>
          <w:rFonts w:ascii="Arial" w:hAnsi="Arial" w:cs="Arial"/>
        </w:rPr>
        <w:t>.</w:t>
      </w:r>
      <w:r w:rsidR="00166608">
        <w:rPr>
          <w:rFonts w:ascii="Arial" w:hAnsi="Arial" w:cs="Arial"/>
        </w:rPr>
        <w:t xml:space="preserve"> Povećanje u obujmu imovine u iznosu od 49.444,00 kuna </w:t>
      </w:r>
      <w:r w:rsidR="00DC62CB">
        <w:rPr>
          <w:rFonts w:ascii="Arial" w:hAnsi="Arial" w:cs="Arial"/>
        </w:rPr>
        <w:t>odnosi se na nabavku spremnika za otpad.</w:t>
      </w:r>
    </w:p>
    <w:p w14:paraId="321AD2D8" w14:textId="6BAD3E42" w:rsidR="0028225C" w:rsidRPr="0016231F" w:rsidRDefault="0028225C" w:rsidP="0048640D">
      <w:pPr>
        <w:jc w:val="both"/>
        <w:rPr>
          <w:rFonts w:ascii="Arial" w:hAnsi="Arial" w:cs="Arial"/>
          <w:b/>
          <w:sz w:val="24"/>
          <w:szCs w:val="24"/>
        </w:rPr>
      </w:pPr>
      <w:r w:rsidRPr="0016231F">
        <w:rPr>
          <w:rFonts w:ascii="Arial" w:hAnsi="Arial" w:cs="Arial"/>
          <w:b/>
          <w:sz w:val="24"/>
          <w:szCs w:val="24"/>
        </w:rPr>
        <w:t>Bilješke uz Izvještaj o obvezama za razdoblje od 0</w:t>
      </w:r>
      <w:r w:rsidR="00382CD7" w:rsidRPr="0016231F">
        <w:rPr>
          <w:rFonts w:ascii="Arial" w:hAnsi="Arial" w:cs="Arial"/>
          <w:b/>
          <w:sz w:val="24"/>
          <w:szCs w:val="24"/>
        </w:rPr>
        <w:t>1. siječnja do 31. prosinca 20</w:t>
      </w:r>
      <w:r w:rsidR="0043390F" w:rsidRPr="0016231F">
        <w:rPr>
          <w:rFonts w:ascii="Arial" w:hAnsi="Arial" w:cs="Arial"/>
          <w:b/>
          <w:sz w:val="24"/>
          <w:szCs w:val="24"/>
        </w:rPr>
        <w:t>2</w:t>
      </w:r>
      <w:r w:rsidR="00DC62CB">
        <w:rPr>
          <w:rFonts w:ascii="Arial" w:hAnsi="Arial" w:cs="Arial"/>
          <w:b/>
          <w:sz w:val="24"/>
          <w:szCs w:val="24"/>
        </w:rPr>
        <w:t>1</w:t>
      </w:r>
      <w:r w:rsidRPr="0016231F">
        <w:rPr>
          <w:rFonts w:ascii="Arial" w:hAnsi="Arial" w:cs="Arial"/>
          <w:b/>
          <w:sz w:val="24"/>
          <w:szCs w:val="24"/>
        </w:rPr>
        <w:t>. godine</w:t>
      </w:r>
    </w:p>
    <w:p w14:paraId="4A17848E" w14:textId="63A9A8FA" w:rsidR="0048640D" w:rsidRPr="0016231F" w:rsidRDefault="00883836" w:rsidP="0048640D">
      <w:pPr>
        <w:jc w:val="both"/>
        <w:rPr>
          <w:rFonts w:ascii="Arial" w:hAnsi="Arial" w:cs="Arial"/>
        </w:rPr>
      </w:pPr>
      <w:r w:rsidRPr="0016231F">
        <w:rPr>
          <w:rFonts w:ascii="Arial" w:hAnsi="Arial" w:cs="Arial"/>
        </w:rPr>
        <w:t>Stanje obveza na početku izvještajnog razdoblj</w:t>
      </w:r>
      <w:r w:rsidR="000B7E50" w:rsidRPr="0016231F">
        <w:rPr>
          <w:rFonts w:ascii="Arial" w:hAnsi="Arial" w:cs="Arial"/>
        </w:rPr>
        <w:t xml:space="preserve">a je iznosilo </w:t>
      </w:r>
      <w:r w:rsidR="00DC62CB">
        <w:rPr>
          <w:rFonts w:ascii="Arial" w:hAnsi="Arial" w:cs="Arial"/>
        </w:rPr>
        <w:t>8.163.476</w:t>
      </w:r>
      <w:r w:rsidR="000B7E50" w:rsidRPr="0016231F">
        <w:rPr>
          <w:rFonts w:ascii="Arial" w:hAnsi="Arial" w:cs="Arial"/>
        </w:rPr>
        <w:t>,00</w:t>
      </w:r>
      <w:r w:rsidRPr="0016231F">
        <w:rPr>
          <w:rFonts w:ascii="Arial" w:hAnsi="Arial" w:cs="Arial"/>
        </w:rPr>
        <w:t xml:space="preserve"> kuna, dok je povećanje obveza u izvještajnom </w:t>
      </w:r>
      <w:r w:rsidR="000B7E50" w:rsidRPr="0016231F">
        <w:rPr>
          <w:rFonts w:ascii="Arial" w:hAnsi="Arial" w:cs="Arial"/>
        </w:rPr>
        <w:t xml:space="preserve">razdoblju iznosilo </w:t>
      </w:r>
      <w:r w:rsidR="00DC62CB">
        <w:rPr>
          <w:rFonts w:ascii="Arial" w:hAnsi="Arial" w:cs="Arial"/>
        </w:rPr>
        <w:t>35.504.218,</w:t>
      </w:r>
      <w:r w:rsidR="0016231F" w:rsidRPr="0016231F">
        <w:rPr>
          <w:rFonts w:ascii="Arial" w:hAnsi="Arial" w:cs="Arial"/>
        </w:rPr>
        <w:t>00</w:t>
      </w:r>
      <w:r w:rsidRPr="0016231F">
        <w:rPr>
          <w:rFonts w:ascii="Arial" w:hAnsi="Arial" w:cs="Arial"/>
        </w:rPr>
        <w:t xml:space="preserve"> kuna. Podmirene obveze u toku izvještajnog raz</w:t>
      </w:r>
      <w:r w:rsidR="000B7E50" w:rsidRPr="0016231F">
        <w:rPr>
          <w:rFonts w:ascii="Arial" w:hAnsi="Arial" w:cs="Arial"/>
        </w:rPr>
        <w:t xml:space="preserve">doblja iznosile su </w:t>
      </w:r>
      <w:r w:rsidR="00DC62CB">
        <w:rPr>
          <w:rFonts w:ascii="Arial" w:hAnsi="Arial" w:cs="Arial"/>
        </w:rPr>
        <w:t>37.598.653</w:t>
      </w:r>
      <w:r w:rsidR="00382CD7" w:rsidRPr="0016231F">
        <w:rPr>
          <w:rFonts w:ascii="Arial" w:hAnsi="Arial" w:cs="Arial"/>
        </w:rPr>
        <w:t>,00</w:t>
      </w:r>
      <w:r w:rsidRPr="0016231F">
        <w:rPr>
          <w:rFonts w:ascii="Arial" w:hAnsi="Arial" w:cs="Arial"/>
        </w:rPr>
        <w:t xml:space="preserve"> kuna, pa je stanje obveza na </w:t>
      </w:r>
      <w:r w:rsidR="00473155" w:rsidRPr="0016231F">
        <w:rPr>
          <w:rFonts w:ascii="Arial" w:hAnsi="Arial" w:cs="Arial"/>
        </w:rPr>
        <w:t>kraju izv</w:t>
      </w:r>
      <w:r w:rsidR="008B512B" w:rsidRPr="0016231F">
        <w:rPr>
          <w:rFonts w:ascii="Arial" w:hAnsi="Arial" w:cs="Arial"/>
        </w:rPr>
        <w:t>ještajnog razdob</w:t>
      </w:r>
      <w:r w:rsidR="000B7E50" w:rsidRPr="0016231F">
        <w:rPr>
          <w:rFonts w:ascii="Arial" w:hAnsi="Arial" w:cs="Arial"/>
        </w:rPr>
        <w:t xml:space="preserve">lja </w:t>
      </w:r>
      <w:r w:rsidR="00DC62CB">
        <w:rPr>
          <w:rFonts w:ascii="Arial" w:hAnsi="Arial" w:cs="Arial"/>
        </w:rPr>
        <w:t>6.069.041,00</w:t>
      </w:r>
      <w:r w:rsidR="00C3679F">
        <w:rPr>
          <w:rFonts w:ascii="Arial" w:hAnsi="Arial" w:cs="Arial"/>
        </w:rPr>
        <w:t xml:space="preserve"> kun</w:t>
      </w:r>
      <w:r w:rsidR="00DC62CB">
        <w:rPr>
          <w:rFonts w:ascii="Arial" w:hAnsi="Arial" w:cs="Arial"/>
        </w:rPr>
        <w:t>u</w:t>
      </w:r>
      <w:r w:rsidR="00C3679F">
        <w:rPr>
          <w:rFonts w:ascii="Arial" w:hAnsi="Arial" w:cs="Arial"/>
        </w:rPr>
        <w:t xml:space="preserve"> od čega su nedospjele obveze iznose </w:t>
      </w:r>
      <w:r w:rsidR="00DC62CB">
        <w:rPr>
          <w:rFonts w:ascii="Arial" w:hAnsi="Arial" w:cs="Arial"/>
        </w:rPr>
        <w:t>6.065.040</w:t>
      </w:r>
      <w:r w:rsidR="00C3679F">
        <w:rPr>
          <w:rFonts w:ascii="Arial" w:hAnsi="Arial" w:cs="Arial"/>
        </w:rPr>
        <w:t>,00 kuna.</w:t>
      </w:r>
      <w:r w:rsidR="0096118B" w:rsidRPr="0016231F">
        <w:rPr>
          <w:rFonts w:ascii="Arial" w:hAnsi="Arial" w:cs="Arial"/>
        </w:rPr>
        <w:tab/>
      </w:r>
      <w:r w:rsidR="0096118B" w:rsidRPr="0016231F">
        <w:rPr>
          <w:rFonts w:ascii="Arial" w:hAnsi="Arial" w:cs="Arial"/>
        </w:rPr>
        <w:tab/>
      </w:r>
      <w:r w:rsidR="0096118B" w:rsidRPr="0016231F">
        <w:rPr>
          <w:rFonts w:ascii="Arial" w:hAnsi="Arial" w:cs="Arial"/>
        </w:rPr>
        <w:tab/>
      </w:r>
      <w:r w:rsidR="0096118B" w:rsidRPr="0016231F">
        <w:rPr>
          <w:rFonts w:ascii="Arial" w:hAnsi="Arial" w:cs="Arial"/>
        </w:rPr>
        <w:tab/>
      </w:r>
      <w:r w:rsidR="0096118B" w:rsidRPr="0016231F">
        <w:rPr>
          <w:rFonts w:ascii="Arial" w:hAnsi="Arial" w:cs="Arial"/>
        </w:rPr>
        <w:tab/>
      </w:r>
    </w:p>
    <w:p w14:paraId="03451E7F" w14:textId="77777777" w:rsidR="00C3679F" w:rsidRDefault="00E82A6C" w:rsidP="00E82A6C">
      <w:pPr>
        <w:jc w:val="both"/>
        <w:rPr>
          <w:rFonts w:ascii="Arial" w:hAnsi="Arial" w:cs="Arial"/>
        </w:rPr>
      </w:pPr>
      <w:r w:rsidRPr="0016231F">
        <w:rPr>
          <w:rFonts w:ascii="Arial" w:hAnsi="Arial" w:cs="Arial"/>
        </w:rPr>
        <w:tab/>
      </w:r>
      <w:r w:rsidRPr="0016231F">
        <w:rPr>
          <w:rFonts w:ascii="Arial" w:hAnsi="Arial" w:cs="Arial"/>
        </w:rPr>
        <w:tab/>
      </w:r>
      <w:r w:rsidRPr="0016231F">
        <w:rPr>
          <w:rFonts w:ascii="Arial" w:hAnsi="Arial" w:cs="Arial"/>
        </w:rPr>
        <w:tab/>
      </w:r>
      <w:r w:rsidRPr="0016231F">
        <w:rPr>
          <w:rFonts w:ascii="Arial" w:hAnsi="Arial" w:cs="Arial"/>
        </w:rPr>
        <w:tab/>
      </w:r>
      <w:r w:rsidRPr="0016231F">
        <w:rPr>
          <w:rFonts w:ascii="Arial" w:hAnsi="Arial" w:cs="Arial"/>
        </w:rPr>
        <w:tab/>
      </w:r>
      <w:r w:rsidRPr="0016231F">
        <w:rPr>
          <w:rFonts w:ascii="Arial" w:hAnsi="Arial" w:cs="Arial"/>
        </w:rPr>
        <w:tab/>
      </w:r>
      <w:r w:rsidRPr="0016231F">
        <w:rPr>
          <w:rFonts w:ascii="Arial" w:hAnsi="Arial" w:cs="Arial"/>
        </w:rPr>
        <w:tab/>
      </w:r>
      <w:r w:rsidRPr="0016231F">
        <w:rPr>
          <w:rFonts w:ascii="Arial" w:hAnsi="Arial" w:cs="Arial"/>
        </w:rPr>
        <w:tab/>
      </w:r>
      <w:r w:rsidRPr="0016231F">
        <w:rPr>
          <w:rFonts w:ascii="Arial" w:hAnsi="Arial" w:cs="Arial"/>
        </w:rPr>
        <w:tab/>
      </w:r>
    </w:p>
    <w:p w14:paraId="0DAF98A0" w14:textId="77777777" w:rsidR="00E82A6C" w:rsidRPr="0016231F" w:rsidRDefault="00C3679F" w:rsidP="00E82A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82A6C" w:rsidRPr="0016231F">
        <w:rPr>
          <w:rFonts w:ascii="Arial" w:hAnsi="Arial" w:cs="Arial"/>
        </w:rPr>
        <w:t>PROČELNICA</w:t>
      </w:r>
    </w:p>
    <w:p w14:paraId="247EE53B" w14:textId="513F606E" w:rsidR="00E82A6C" w:rsidRPr="009D148C" w:rsidRDefault="00E82A6C" w:rsidP="00E82A6C">
      <w:pPr>
        <w:jc w:val="both"/>
        <w:rPr>
          <w:rFonts w:ascii="Arial" w:hAnsi="Arial" w:cs="Arial"/>
        </w:rPr>
      </w:pPr>
      <w:r w:rsidRPr="0016231F">
        <w:rPr>
          <w:rFonts w:ascii="Arial" w:hAnsi="Arial" w:cs="Arial"/>
        </w:rPr>
        <w:tab/>
      </w:r>
      <w:r w:rsidRPr="0016231F">
        <w:rPr>
          <w:rFonts w:ascii="Arial" w:hAnsi="Arial" w:cs="Arial"/>
        </w:rPr>
        <w:tab/>
      </w:r>
      <w:r w:rsidRPr="0016231F">
        <w:rPr>
          <w:rFonts w:ascii="Arial" w:hAnsi="Arial" w:cs="Arial"/>
        </w:rPr>
        <w:tab/>
      </w:r>
      <w:r w:rsidRPr="0016231F">
        <w:rPr>
          <w:rFonts w:ascii="Arial" w:hAnsi="Arial" w:cs="Arial"/>
        </w:rPr>
        <w:tab/>
      </w:r>
      <w:r w:rsidRPr="0016231F">
        <w:rPr>
          <w:rFonts w:ascii="Arial" w:hAnsi="Arial" w:cs="Arial"/>
        </w:rPr>
        <w:tab/>
      </w:r>
      <w:r w:rsidRPr="0016231F">
        <w:rPr>
          <w:rFonts w:ascii="Arial" w:hAnsi="Arial" w:cs="Arial"/>
        </w:rPr>
        <w:tab/>
      </w:r>
      <w:r w:rsidRPr="0016231F">
        <w:rPr>
          <w:rFonts w:ascii="Arial" w:hAnsi="Arial" w:cs="Arial"/>
        </w:rPr>
        <w:tab/>
        <w:t xml:space="preserve">                      </w:t>
      </w:r>
      <w:r w:rsidR="00DC62CB">
        <w:rPr>
          <w:rFonts w:ascii="Arial" w:hAnsi="Arial" w:cs="Arial"/>
        </w:rPr>
        <w:t xml:space="preserve">  Nives Jakac</w:t>
      </w:r>
    </w:p>
    <w:p w14:paraId="332CCE45" w14:textId="77777777" w:rsidR="00E82A6C" w:rsidRDefault="00E82A6C" w:rsidP="0048640D">
      <w:pPr>
        <w:jc w:val="both"/>
        <w:rPr>
          <w:rFonts w:ascii="Arial" w:hAnsi="Arial" w:cs="Arial"/>
        </w:rPr>
      </w:pPr>
    </w:p>
    <w:p w14:paraId="58F1EBA1" w14:textId="77777777" w:rsidR="00B430AE" w:rsidRDefault="00B430AE" w:rsidP="0048640D">
      <w:pPr>
        <w:jc w:val="both"/>
        <w:rPr>
          <w:rFonts w:ascii="Arial" w:hAnsi="Arial" w:cs="Arial"/>
          <w:b/>
        </w:rPr>
      </w:pPr>
    </w:p>
    <w:p w14:paraId="53E97307" w14:textId="7EBAD605" w:rsidR="00B430AE" w:rsidRDefault="00B430AE" w:rsidP="0048640D">
      <w:pPr>
        <w:jc w:val="both"/>
        <w:rPr>
          <w:rFonts w:ascii="Arial" w:hAnsi="Arial" w:cs="Arial"/>
          <w:b/>
        </w:rPr>
      </w:pPr>
    </w:p>
    <w:p w14:paraId="60B17746" w14:textId="1339A335" w:rsidR="00063EC9" w:rsidRDefault="00063EC9" w:rsidP="0048640D">
      <w:pPr>
        <w:jc w:val="both"/>
        <w:rPr>
          <w:rFonts w:ascii="Arial" w:hAnsi="Arial" w:cs="Arial"/>
          <w:b/>
        </w:rPr>
      </w:pPr>
    </w:p>
    <w:p w14:paraId="2536D583" w14:textId="43A9D157" w:rsidR="00063EC9" w:rsidRDefault="00063EC9" w:rsidP="0048640D">
      <w:pPr>
        <w:jc w:val="both"/>
        <w:rPr>
          <w:rFonts w:ascii="Arial" w:hAnsi="Arial" w:cs="Arial"/>
          <w:b/>
        </w:rPr>
      </w:pPr>
    </w:p>
    <w:p w14:paraId="64D0CCC5" w14:textId="394C9D6C" w:rsidR="00063EC9" w:rsidRDefault="00063EC9" w:rsidP="0048640D">
      <w:pPr>
        <w:jc w:val="both"/>
        <w:rPr>
          <w:rFonts w:ascii="Arial" w:hAnsi="Arial" w:cs="Arial"/>
          <w:b/>
        </w:rPr>
      </w:pPr>
    </w:p>
    <w:p w14:paraId="4B401BBD" w14:textId="757503E3" w:rsidR="00063EC9" w:rsidRDefault="00063EC9" w:rsidP="0048640D">
      <w:pPr>
        <w:jc w:val="both"/>
        <w:rPr>
          <w:rFonts w:ascii="Arial" w:hAnsi="Arial" w:cs="Arial"/>
          <w:b/>
        </w:rPr>
      </w:pPr>
    </w:p>
    <w:p w14:paraId="252320B0" w14:textId="4FA9D847" w:rsidR="00063EC9" w:rsidRDefault="00063EC9" w:rsidP="0048640D">
      <w:pPr>
        <w:jc w:val="both"/>
        <w:rPr>
          <w:rFonts w:ascii="Arial" w:hAnsi="Arial" w:cs="Arial"/>
          <w:b/>
        </w:rPr>
      </w:pPr>
    </w:p>
    <w:p w14:paraId="41DAFB8D" w14:textId="08F12F4F" w:rsidR="00063EC9" w:rsidRDefault="00063EC9" w:rsidP="0048640D">
      <w:pPr>
        <w:jc w:val="both"/>
        <w:rPr>
          <w:rFonts w:ascii="Arial" w:hAnsi="Arial" w:cs="Arial"/>
          <w:b/>
        </w:rPr>
      </w:pPr>
    </w:p>
    <w:p w14:paraId="27B0B06F" w14:textId="406D57C8" w:rsidR="00063EC9" w:rsidRDefault="00063EC9" w:rsidP="0048640D">
      <w:pPr>
        <w:jc w:val="both"/>
        <w:rPr>
          <w:rFonts w:ascii="Arial" w:hAnsi="Arial" w:cs="Arial"/>
          <w:b/>
        </w:rPr>
      </w:pPr>
    </w:p>
    <w:p w14:paraId="3DCD7C1B" w14:textId="0F1EF998" w:rsidR="00063EC9" w:rsidRDefault="00063EC9" w:rsidP="0048640D">
      <w:pPr>
        <w:jc w:val="both"/>
        <w:rPr>
          <w:rFonts w:ascii="Arial" w:hAnsi="Arial" w:cs="Arial"/>
          <w:b/>
        </w:rPr>
      </w:pPr>
    </w:p>
    <w:p w14:paraId="3DEEB0D4" w14:textId="0029C05C" w:rsidR="00E82A6C" w:rsidRDefault="00E82A6C" w:rsidP="0048640D">
      <w:pPr>
        <w:jc w:val="both"/>
        <w:rPr>
          <w:rFonts w:ascii="Arial" w:hAnsi="Arial" w:cs="Arial"/>
          <w:b/>
        </w:rPr>
      </w:pPr>
      <w:r w:rsidRPr="00E82A6C">
        <w:rPr>
          <w:rFonts w:ascii="Arial" w:hAnsi="Arial" w:cs="Arial"/>
          <w:b/>
        </w:rPr>
        <w:lastRenderedPageBreak/>
        <w:t>PREGLED SUDSKIH SPOROVA U 202</w:t>
      </w:r>
      <w:r w:rsidR="00DC62CB">
        <w:rPr>
          <w:rFonts w:ascii="Arial" w:hAnsi="Arial" w:cs="Arial"/>
          <w:b/>
        </w:rPr>
        <w:t>1</w:t>
      </w:r>
      <w:r w:rsidRPr="00E82A6C">
        <w:rPr>
          <w:rFonts w:ascii="Arial" w:hAnsi="Arial" w:cs="Arial"/>
          <w:b/>
        </w:rPr>
        <w:t>. GODINI</w:t>
      </w:r>
    </w:p>
    <w:tbl>
      <w:tblPr>
        <w:tblW w:w="8520" w:type="dxa"/>
        <w:tblLook w:val="04A0" w:firstRow="1" w:lastRow="0" w:firstColumn="1" w:lastColumn="0" w:noHBand="0" w:noVBand="1"/>
      </w:tblPr>
      <w:tblGrid>
        <w:gridCol w:w="776"/>
        <w:gridCol w:w="3388"/>
        <w:gridCol w:w="2317"/>
        <w:gridCol w:w="2039"/>
      </w:tblGrid>
      <w:tr w:rsidR="002E51C7" w:rsidRPr="002E51C7" w14:paraId="5F952AEA" w14:textId="77777777" w:rsidTr="002E51C7">
        <w:trPr>
          <w:trHeight w:val="555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393AD" w14:textId="5A901943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</w:tc>
      </w:tr>
      <w:tr w:rsidR="002E51C7" w:rsidRPr="002E51C7" w14:paraId="100585BB" w14:textId="77777777" w:rsidTr="002E51C7">
        <w:trPr>
          <w:trHeight w:val="94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14:paraId="789C4665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2E51C7">
              <w:rPr>
                <w:rFonts w:eastAsia="Times New Roman" w:cs="Calibri"/>
                <w:lang w:eastAsia="hr-HR"/>
              </w:rPr>
              <w:t>REDNI BROJ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14:paraId="1E458668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2E51C7">
              <w:rPr>
                <w:rFonts w:eastAsia="Times New Roman" w:cs="Calibri"/>
                <w:lang w:eastAsia="hr-HR"/>
              </w:rPr>
              <w:t>PARNIČNI POSTUPAK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6C42050B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2E51C7">
              <w:rPr>
                <w:rFonts w:eastAsia="Times New Roman" w:cs="Calibri"/>
                <w:lang w:eastAsia="hr-HR"/>
              </w:rPr>
              <w:t>ZASTUPNIK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14:paraId="3BC858DA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2E51C7">
              <w:rPr>
                <w:rFonts w:eastAsia="Times New Roman" w:cs="Calibri"/>
                <w:lang w:eastAsia="hr-HR"/>
              </w:rPr>
              <w:t>VISINA POTENCIJALNIH OBVEZA</w:t>
            </w:r>
          </w:p>
        </w:tc>
      </w:tr>
      <w:tr w:rsidR="002E51C7" w:rsidRPr="002E51C7" w14:paraId="4DB7A37C" w14:textId="77777777" w:rsidTr="002E51C7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04F1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>1.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25941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>P - 411/2016 Republika Hrvatska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0C4B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>Denis Jerman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98D9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>5.000,00 kn</w:t>
            </w:r>
          </w:p>
        </w:tc>
      </w:tr>
      <w:tr w:rsidR="002E51C7" w:rsidRPr="002E51C7" w14:paraId="142F733E" w14:textId="77777777" w:rsidTr="002E51C7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A00B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>2.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39139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 xml:space="preserve">P-379/20 - Karlo </w:t>
            </w:r>
            <w:proofErr w:type="spellStart"/>
            <w:r w:rsidRPr="002E51C7">
              <w:rPr>
                <w:rFonts w:eastAsia="Times New Roman" w:cs="Calibri"/>
                <w:color w:val="000000"/>
                <w:lang w:eastAsia="hr-HR"/>
              </w:rPr>
              <w:t>Brozić</w:t>
            </w:r>
            <w:proofErr w:type="spellEnd"/>
            <w:r w:rsidRPr="002E51C7">
              <w:rPr>
                <w:rFonts w:eastAsia="Times New Roman" w:cs="Calibri"/>
                <w:color w:val="000000"/>
                <w:lang w:eastAsia="hr-HR"/>
              </w:rPr>
              <w:t xml:space="preserve"> i dr.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1FA2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>Denis Jerman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6138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>3.000,00 kn</w:t>
            </w:r>
          </w:p>
        </w:tc>
      </w:tr>
      <w:tr w:rsidR="002E51C7" w:rsidRPr="002E51C7" w14:paraId="08A83954" w14:textId="77777777" w:rsidTr="002E51C7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D974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>3.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71F5D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 xml:space="preserve">P - 817/16 - Neda </w:t>
            </w:r>
            <w:proofErr w:type="spellStart"/>
            <w:r w:rsidRPr="002E51C7">
              <w:rPr>
                <w:rFonts w:eastAsia="Times New Roman" w:cs="Calibri"/>
                <w:color w:val="000000"/>
                <w:lang w:eastAsia="hr-HR"/>
              </w:rPr>
              <w:t>Rojnić</w:t>
            </w:r>
            <w:proofErr w:type="spellEnd"/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261A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>Denis Jerman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7BD3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>1.000,00 kn</w:t>
            </w:r>
          </w:p>
        </w:tc>
      </w:tr>
      <w:tr w:rsidR="002E51C7" w:rsidRPr="002E51C7" w14:paraId="02BF4064" w14:textId="77777777" w:rsidTr="002E51C7">
        <w:trPr>
          <w:trHeight w:val="31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FFAB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>5.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C06C8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>P-2437/2019 - Zoran Graovac i dr.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0151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>Denis Jerman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7864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>5.000,00 kn</w:t>
            </w:r>
          </w:p>
        </w:tc>
      </w:tr>
      <w:tr w:rsidR="002E51C7" w:rsidRPr="002E51C7" w14:paraId="638D7640" w14:textId="77777777" w:rsidTr="002E51C7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E84F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>6.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E2771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 xml:space="preserve">P- 857/18 - Dora </w:t>
            </w:r>
            <w:proofErr w:type="spellStart"/>
            <w:r w:rsidRPr="002E51C7">
              <w:rPr>
                <w:rFonts w:eastAsia="Times New Roman" w:cs="Calibri"/>
                <w:color w:val="000000"/>
                <w:lang w:eastAsia="hr-HR"/>
              </w:rPr>
              <w:t>Sandalj</w:t>
            </w:r>
            <w:proofErr w:type="spellEnd"/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D8EA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>Denis Jerman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720F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>3.000,00 kn</w:t>
            </w:r>
          </w:p>
        </w:tc>
      </w:tr>
      <w:tr w:rsidR="002E51C7" w:rsidRPr="002E51C7" w14:paraId="44991E88" w14:textId="77777777" w:rsidTr="002E51C7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560F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>7.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84AFF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 xml:space="preserve">P - 920/2019 - Ana </w:t>
            </w:r>
            <w:proofErr w:type="spellStart"/>
            <w:r w:rsidRPr="002E51C7">
              <w:rPr>
                <w:rFonts w:eastAsia="Times New Roman" w:cs="Calibri"/>
                <w:color w:val="000000"/>
                <w:lang w:eastAsia="hr-HR"/>
              </w:rPr>
              <w:t>Gomojić</w:t>
            </w:r>
            <w:proofErr w:type="spellEnd"/>
            <w:r w:rsidRPr="002E51C7">
              <w:rPr>
                <w:rFonts w:eastAsia="Times New Roman" w:cs="Calibri"/>
                <w:color w:val="000000"/>
                <w:lang w:eastAsia="hr-HR"/>
              </w:rPr>
              <w:t xml:space="preserve"> i dr.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18C4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>Denis Jerman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E20E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>1.000,00 kn</w:t>
            </w:r>
          </w:p>
        </w:tc>
      </w:tr>
      <w:tr w:rsidR="002E51C7" w:rsidRPr="002E51C7" w14:paraId="3080636E" w14:textId="77777777" w:rsidTr="002E51C7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3361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>8.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0E043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 xml:space="preserve">Psp-77/2019 - Lorena </w:t>
            </w:r>
            <w:proofErr w:type="spellStart"/>
            <w:r w:rsidRPr="002E51C7">
              <w:rPr>
                <w:rFonts w:eastAsia="Times New Roman" w:cs="Calibri"/>
                <w:color w:val="000000"/>
                <w:lang w:eastAsia="hr-HR"/>
              </w:rPr>
              <w:t>Kapusta</w:t>
            </w:r>
            <w:proofErr w:type="spellEnd"/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43E2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>Denis Jerman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EAE7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>10.000,00 kn</w:t>
            </w:r>
          </w:p>
        </w:tc>
      </w:tr>
      <w:tr w:rsidR="002E51C7" w:rsidRPr="002E51C7" w14:paraId="5A89437C" w14:textId="77777777" w:rsidTr="002E51C7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3FB0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>13.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F1CC8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>P - 423/11 - (</w:t>
            </w:r>
            <w:proofErr w:type="spellStart"/>
            <w:r w:rsidRPr="002E51C7">
              <w:rPr>
                <w:rFonts w:eastAsia="Times New Roman" w:cs="Calibri"/>
                <w:color w:val="000000"/>
                <w:lang w:eastAsia="hr-HR"/>
              </w:rPr>
              <w:t>Logram</w:t>
            </w:r>
            <w:proofErr w:type="spellEnd"/>
            <w:r w:rsidRPr="002E51C7">
              <w:rPr>
                <w:rFonts w:eastAsia="Times New Roman" w:cs="Calibri"/>
                <w:color w:val="000000"/>
                <w:lang w:eastAsia="hr-HR"/>
              </w:rPr>
              <w:t xml:space="preserve">) </w:t>
            </w:r>
            <w:proofErr w:type="spellStart"/>
            <w:r w:rsidRPr="002E51C7">
              <w:rPr>
                <w:rFonts w:eastAsia="Times New Roman" w:cs="Calibri"/>
                <w:color w:val="000000"/>
                <w:lang w:eastAsia="hr-HR"/>
              </w:rPr>
              <w:t>Geoprojekt</w:t>
            </w:r>
            <w:proofErr w:type="spellEnd"/>
            <w:r w:rsidRPr="002E51C7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CFF7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>Sandra Ivić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101E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>0,00 kn</w:t>
            </w:r>
          </w:p>
        </w:tc>
      </w:tr>
      <w:tr w:rsidR="002E51C7" w:rsidRPr="002E51C7" w14:paraId="0C52C595" w14:textId="77777777" w:rsidTr="002E51C7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DE29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>14.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DBD3D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>P - 256/10 - (</w:t>
            </w:r>
            <w:proofErr w:type="spellStart"/>
            <w:r w:rsidRPr="002E51C7">
              <w:rPr>
                <w:rFonts w:eastAsia="Times New Roman" w:cs="Calibri"/>
                <w:color w:val="000000"/>
                <w:lang w:eastAsia="hr-HR"/>
              </w:rPr>
              <w:t>Logram</w:t>
            </w:r>
            <w:proofErr w:type="spellEnd"/>
            <w:r w:rsidRPr="002E51C7">
              <w:rPr>
                <w:rFonts w:eastAsia="Times New Roman" w:cs="Calibri"/>
                <w:color w:val="000000"/>
                <w:lang w:eastAsia="hr-HR"/>
              </w:rPr>
              <w:t xml:space="preserve">) </w:t>
            </w:r>
            <w:proofErr w:type="spellStart"/>
            <w:r w:rsidRPr="002E51C7">
              <w:rPr>
                <w:rFonts w:eastAsia="Times New Roman" w:cs="Calibri"/>
                <w:color w:val="000000"/>
                <w:lang w:eastAsia="hr-HR"/>
              </w:rPr>
              <w:t>Geoprojekt</w:t>
            </w:r>
            <w:proofErr w:type="spellEnd"/>
            <w:r w:rsidRPr="002E51C7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87AE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>Sandra Ivić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F2BB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>0,00 kn</w:t>
            </w:r>
          </w:p>
        </w:tc>
      </w:tr>
      <w:tr w:rsidR="002E51C7" w:rsidRPr="002E51C7" w14:paraId="2663868D" w14:textId="77777777" w:rsidTr="002E51C7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89D8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>15.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EFD75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>P - 255/10 - (</w:t>
            </w:r>
            <w:proofErr w:type="spellStart"/>
            <w:r w:rsidRPr="002E51C7">
              <w:rPr>
                <w:rFonts w:eastAsia="Times New Roman" w:cs="Calibri"/>
                <w:color w:val="000000"/>
                <w:lang w:eastAsia="hr-HR"/>
              </w:rPr>
              <w:t>Logram</w:t>
            </w:r>
            <w:proofErr w:type="spellEnd"/>
            <w:r w:rsidRPr="002E51C7">
              <w:rPr>
                <w:rFonts w:eastAsia="Times New Roman" w:cs="Calibri"/>
                <w:color w:val="000000"/>
                <w:lang w:eastAsia="hr-HR"/>
              </w:rPr>
              <w:t xml:space="preserve">) </w:t>
            </w:r>
            <w:proofErr w:type="spellStart"/>
            <w:r w:rsidRPr="002E51C7">
              <w:rPr>
                <w:rFonts w:eastAsia="Times New Roman" w:cs="Calibri"/>
                <w:color w:val="000000"/>
                <w:lang w:eastAsia="hr-HR"/>
              </w:rPr>
              <w:t>Geoprojekt</w:t>
            </w:r>
            <w:proofErr w:type="spellEnd"/>
            <w:r w:rsidRPr="002E51C7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511D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>Sandra Ivić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96AF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>0,00 kn</w:t>
            </w:r>
          </w:p>
        </w:tc>
      </w:tr>
      <w:tr w:rsidR="002E51C7" w:rsidRPr="002E51C7" w14:paraId="447386B4" w14:textId="77777777" w:rsidTr="002E51C7">
        <w:trPr>
          <w:trHeight w:val="6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93EE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>17.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100F5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 xml:space="preserve">St-334/2019 - </w:t>
            </w:r>
            <w:proofErr w:type="spellStart"/>
            <w:r w:rsidRPr="002E51C7">
              <w:rPr>
                <w:rFonts w:eastAsia="Times New Roman" w:cs="Calibri"/>
                <w:color w:val="000000"/>
                <w:lang w:eastAsia="hr-HR"/>
              </w:rPr>
              <w:t>Grafomarketing</w:t>
            </w:r>
            <w:proofErr w:type="spellEnd"/>
            <w:r w:rsidRPr="002E51C7">
              <w:rPr>
                <w:rFonts w:eastAsia="Times New Roman" w:cs="Calibri"/>
                <w:color w:val="000000"/>
                <w:lang w:eastAsia="hr-HR"/>
              </w:rPr>
              <w:t xml:space="preserve"> d.o.o. (stečaj)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7545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>Denis Jerman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AFBC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>0,00 kn</w:t>
            </w:r>
          </w:p>
        </w:tc>
      </w:tr>
      <w:tr w:rsidR="002E51C7" w:rsidRPr="002E51C7" w14:paraId="075C236D" w14:textId="77777777" w:rsidTr="002E51C7">
        <w:trPr>
          <w:trHeight w:val="6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14:paraId="1F038534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>REDNI BROJ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14:paraId="6519DF40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>IZVANPARNIČNI POSTUPAK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2C967F68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>POSTUPAK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24A27480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2E51C7" w:rsidRPr="002E51C7" w14:paraId="4D669F76" w14:textId="77777777" w:rsidTr="002E51C7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C6AA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>1.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D5F32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 xml:space="preserve">R1 - 34/11 - Marija </w:t>
            </w:r>
            <w:proofErr w:type="spellStart"/>
            <w:r w:rsidRPr="002E51C7">
              <w:rPr>
                <w:rFonts w:eastAsia="Times New Roman" w:cs="Calibri"/>
                <w:color w:val="000000"/>
                <w:lang w:eastAsia="hr-HR"/>
              </w:rPr>
              <w:t>Zornada</w:t>
            </w:r>
            <w:proofErr w:type="spellEnd"/>
            <w:r w:rsidRPr="002E51C7">
              <w:rPr>
                <w:rFonts w:eastAsia="Times New Roman" w:cs="Calibri"/>
                <w:color w:val="000000"/>
                <w:lang w:eastAsia="hr-HR"/>
              </w:rPr>
              <w:t xml:space="preserve"> i dr.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C953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>razvrgnuće suvlasništva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258F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>500,00 kn</w:t>
            </w:r>
          </w:p>
        </w:tc>
      </w:tr>
      <w:tr w:rsidR="002E51C7" w:rsidRPr="002E51C7" w14:paraId="12820BAB" w14:textId="77777777" w:rsidTr="002E51C7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5AC4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>2.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70D70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 xml:space="preserve">R1 - 6/2020 - Majda </w:t>
            </w:r>
            <w:proofErr w:type="spellStart"/>
            <w:r w:rsidRPr="002E51C7">
              <w:rPr>
                <w:rFonts w:eastAsia="Times New Roman" w:cs="Calibri"/>
                <w:color w:val="000000"/>
                <w:lang w:eastAsia="hr-HR"/>
              </w:rPr>
              <w:t>Despinić</w:t>
            </w:r>
            <w:proofErr w:type="spellEnd"/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3B76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>razvrgnuće suvlasništva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D312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>100,00 kn</w:t>
            </w:r>
          </w:p>
        </w:tc>
      </w:tr>
      <w:tr w:rsidR="002E51C7" w:rsidRPr="002E51C7" w14:paraId="46D83D77" w14:textId="77777777" w:rsidTr="002E51C7">
        <w:trPr>
          <w:trHeight w:val="6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6674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>3.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546FB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>R1-86/2020 - Ana Kajin i Ivan Flego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F906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>razvrgnuće suvlasništva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6653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>100,00 kn</w:t>
            </w:r>
          </w:p>
        </w:tc>
      </w:tr>
      <w:tr w:rsidR="002E51C7" w:rsidRPr="002E51C7" w14:paraId="71C5D829" w14:textId="77777777" w:rsidTr="002E51C7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EAB9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>4.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BBC02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>R1-714/2019 - Agora d.o.o. Pula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7BDC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>razvrgnuće suvlasništva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6650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>1.500,00 kn</w:t>
            </w:r>
          </w:p>
        </w:tc>
      </w:tr>
      <w:tr w:rsidR="002E51C7" w:rsidRPr="002E51C7" w14:paraId="2DC414D7" w14:textId="77777777" w:rsidTr="002E51C7">
        <w:trPr>
          <w:trHeight w:val="36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9993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>5.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A7FD5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 xml:space="preserve">R1-126/2020 - Mirjana </w:t>
            </w:r>
            <w:proofErr w:type="spellStart"/>
            <w:r w:rsidRPr="002E51C7">
              <w:rPr>
                <w:rFonts w:eastAsia="Times New Roman" w:cs="Calibri"/>
                <w:color w:val="000000"/>
                <w:lang w:eastAsia="hr-HR"/>
              </w:rPr>
              <w:t>Draščić</w:t>
            </w:r>
            <w:proofErr w:type="spellEnd"/>
            <w:r w:rsidRPr="002E51C7">
              <w:rPr>
                <w:rFonts w:eastAsia="Times New Roman" w:cs="Calibri"/>
                <w:color w:val="000000"/>
                <w:lang w:eastAsia="hr-HR"/>
              </w:rPr>
              <w:t xml:space="preserve"> i dr.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E9A3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>razvrgnuće suvlasništva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1B8E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>3.000,00 kn</w:t>
            </w:r>
          </w:p>
        </w:tc>
      </w:tr>
      <w:tr w:rsidR="002E51C7" w:rsidRPr="002E51C7" w14:paraId="302B71D1" w14:textId="77777777" w:rsidTr="002E51C7">
        <w:trPr>
          <w:trHeight w:val="37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587E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>6.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FB230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 xml:space="preserve">R1-131/2020 - Damir </w:t>
            </w:r>
            <w:proofErr w:type="spellStart"/>
            <w:r w:rsidRPr="002E51C7">
              <w:rPr>
                <w:rFonts w:eastAsia="Times New Roman" w:cs="Calibri"/>
                <w:color w:val="000000"/>
                <w:lang w:eastAsia="hr-HR"/>
              </w:rPr>
              <w:t>Totman</w:t>
            </w:r>
            <w:proofErr w:type="spellEnd"/>
            <w:r w:rsidRPr="002E51C7">
              <w:rPr>
                <w:rFonts w:eastAsia="Times New Roman" w:cs="Calibri"/>
                <w:color w:val="000000"/>
                <w:lang w:eastAsia="hr-HR"/>
              </w:rPr>
              <w:t xml:space="preserve"> i dr.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C22A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>razvrgnuće suvlasništva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A038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>2.500,00 kn</w:t>
            </w:r>
          </w:p>
        </w:tc>
      </w:tr>
      <w:tr w:rsidR="002E51C7" w:rsidRPr="002E51C7" w14:paraId="5A472401" w14:textId="77777777" w:rsidTr="002E51C7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20DE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>7.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B9221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>R1-132/2020 - Eduard Marion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DFA4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>razvrgnuće suvlasništva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86BE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>1.000,00 kn</w:t>
            </w:r>
          </w:p>
        </w:tc>
      </w:tr>
      <w:tr w:rsidR="002E51C7" w:rsidRPr="002E51C7" w14:paraId="48D57481" w14:textId="77777777" w:rsidTr="002E51C7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134D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>8.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A621E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 xml:space="preserve">R1-304/2020 - Anita </w:t>
            </w:r>
            <w:proofErr w:type="spellStart"/>
            <w:r w:rsidRPr="002E51C7">
              <w:rPr>
                <w:rFonts w:eastAsia="Times New Roman" w:cs="Calibri"/>
                <w:color w:val="000000"/>
                <w:lang w:eastAsia="hr-HR"/>
              </w:rPr>
              <w:t>Zornada</w:t>
            </w:r>
            <w:proofErr w:type="spellEnd"/>
            <w:r w:rsidRPr="002E51C7">
              <w:rPr>
                <w:rFonts w:eastAsia="Times New Roman" w:cs="Calibri"/>
                <w:color w:val="000000"/>
                <w:lang w:eastAsia="hr-HR"/>
              </w:rPr>
              <w:t xml:space="preserve"> i dr.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D72A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>razvrgnuće suvlasništva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3DEC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>3.000,00 kn</w:t>
            </w:r>
          </w:p>
        </w:tc>
      </w:tr>
      <w:tr w:rsidR="002E51C7" w:rsidRPr="002E51C7" w14:paraId="2EFDD636" w14:textId="77777777" w:rsidTr="002E51C7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356AD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80EE36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F4C68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313DC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2E51C7" w:rsidRPr="002E51C7" w14:paraId="6E78CBB5" w14:textId="77777777" w:rsidTr="002E51C7">
        <w:trPr>
          <w:trHeight w:val="30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F8FAF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082402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A4F18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b/>
                <w:bCs/>
                <w:color w:val="000000"/>
                <w:lang w:eastAsia="hr-HR"/>
              </w:rPr>
              <w:t>UKUPNO: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93AFE" w14:textId="77777777" w:rsidR="002E51C7" w:rsidRPr="002E51C7" w:rsidRDefault="002E51C7" w:rsidP="002E51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2E51C7">
              <w:rPr>
                <w:rFonts w:eastAsia="Times New Roman" w:cs="Calibri"/>
                <w:b/>
                <w:bCs/>
                <w:color w:val="000000"/>
                <w:lang w:eastAsia="hr-HR"/>
              </w:rPr>
              <w:t>39.700,00 kn</w:t>
            </w:r>
          </w:p>
        </w:tc>
      </w:tr>
    </w:tbl>
    <w:p w14:paraId="5CC5486F" w14:textId="1778C151" w:rsidR="00DC62CB" w:rsidRDefault="00DC62CB" w:rsidP="0048640D">
      <w:pPr>
        <w:jc w:val="both"/>
        <w:rPr>
          <w:rFonts w:ascii="Arial" w:hAnsi="Arial" w:cs="Arial"/>
          <w:b/>
        </w:rPr>
      </w:pPr>
    </w:p>
    <w:p w14:paraId="0E9CED03" w14:textId="353D427D" w:rsidR="00DC62CB" w:rsidRDefault="00DC62CB" w:rsidP="0048640D">
      <w:pPr>
        <w:jc w:val="both"/>
        <w:rPr>
          <w:rFonts w:ascii="Arial" w:hAnsi="Arial" w:cs="Arial"/>
          <w:b/>
        </w:rPr>
      </w:pPr>
    </w:p>
    <w:p w14:paraId="0A2C8A4F" w14:textId="69C2A475" w:rsidR="00DC62CB" w:rsidRDefault="00DC62CB" w:rsidP="0048640D">
      <w:pPr>
        <w:jc w:val="both"/>
        <w:rPr>
          <w:rFonts w:ascii="Arial" w:hAnsi="Arial" w:cs="Arial"/>
          <w:b/>
        </w:rPr>
      </w:pPr>
    </w:p>
    <w:p w14:paraId="6B2BF956" w14:textId="11095A79" w:rsidR="00DC62CB" w:rsidRDefault="00DC62CB" w:rsidP="0048640D">
      <w:pPr>
        <w:jc w:val="both"/>
        <w:rPr>
          <w:rFonts w:ascii="Arial" w:hAnsi="Arial" w:cs="Arial"/>
          <w:b/>
        </w:rPr>
      </w:pPr>
    </w:p>
    <w:p w14:paraId="007EA9A4" w14:textId="77777777" w:rsidR="004F1117" w:rsidRDefault="004F1117" w:rsidP="0048640D">
      <w:pPr>
        <w:jc w:val="both"/>
        <w:rPr>
          <w:rFonts w:ascii="Arial" w:hAnsi="Arial" w:cs="Arial"/>
        </w:rPr>
      </w:pPr>
    </w:p>
    <w:p w14:paraId="163EAA8F" w14:textId="77777777" w:rsidR="004F1117" w:rsidRPr="004F1117" w:rsidRDefault="0096118B" w:rsidP="0048640D">
      <w:pPr>
        <w:jc w:val="both"/>
        <w:rPr>
          <w:rFonts w:ascii="Arial" w:hAnsi="Arial" w:cs="Arial"/>
        </w:rPr>
      </w:pPr>
      <w:r w:rsidRPr="004F1117">
        <w:rPr>
          <w:rFonts w:ascii="Arial" w:hAnsi="Arial" w:cs="Arial"/>
        </w:rPr>
        <w:tab/>
      </w:r>
      <w:r w:rsidRPr="004F1117">
        <w:rPr>
          <w:rFonts w:ascii="Arial" w:hAnsi="Arial" w:cs="Arial"/>
        </w:rPr>
        <w:tab/>
      </w:r>
      <w:r w:rsidRPr="004F1117">
        <w:rPr>
          <w:rFonts w:ascii="Arial" w:hAnsi="Arial" w:cs="Arial"/>
        </w:rPr>
        <w:tab/>
      </w:r>
      <w:r w:rsidRPr="004F1117">
        <w:rPr>
          <w:rFonts w:ascii="Arial" w:hAnsi="Arial" w:cs="Arial"/>
        </w:rPr>
        <w:tab/>
      </w:r>
      <w:r w:rsidRPr="004F1117">
        <w:rPr>
          <w:rFonts w:ascii="Arial" w:hAnsi="Arial" w:cs="Arial"/>
        </w:rPr>
        <w:tab/>
      </w:r>
      <w:r w:rsidRPr="004F1117">
        <w:rPr>
          <w:rFonts w:ascii="Arial" w:hAnsi="Arial" w:cs="Arial"/>
        </w:rPr>
        <w:tab/>
      </w:r>
      <w:r w:rsidRPr="004F1117">
        <w:rPr>
          <w:rFonts w:ascii="Arial" w:hAnsi="Arial" w:cs="Arial"/>
        </w:rPr>
        <w:tab/>
      </w:r>
      <w:r w:rsidRPr="004F1117">
        <w:rPr>
          <w:rFonts w:ascii="Arial" w:hAnsi="Arial" w:cs="Arial"/>
        </w:rPr>
        <w:tab/>
      </w:r>
    </w:p>
    <w:p w14:paraId="7D21E958" w14:textId="77777777" w:rsidR="0048640D" w:rsidRPr="009D148C" w:rsidRDefault="004F1117" w:rsidP="00E82A6C">
      <w:pPr>
        <w:jc w:val="both"/>
        <w:rPr>
          <w:rFonts w:ascii="Arial" w:hAnsi="Arial" w:cs="Arial"/>
        </w:rPr>
      </w:pPr>
      <w:r w:rsidRPr="005B293C">
        <w:rPr>
          <w:rFonts w:ascii="Arial" w:hAnsi="Arial" w:cs="Arial"/>
        </w:rPr>
        <w:tab/>
      </w:r>
      <w:r w:rsidRPr="005B293C">
        <w:rPr>
          <w:rFonts w:ascii="Arial" w:hAnsi="Arial" w:cs="Arial"/>
        </w:rPr>
        <w:tab/>
      </w:r>
      <w:r w:rsidRPr="005B293C">
        <w:rPr>
          <w:rFonts w:ascii="Arial" w:hAnsi="Arial" w:cs="Arial"/>
        </w:rPr>
        <w:tab/>
      </w:r>
      <w:r w:rsidRPr="005B293C">
        <w:rPr>
          <w:rFonts w:ascii="Arial" w:hAnsi="Arial" w:cs="Arial"/>
        </w:rPr>
        <w:tab/>
      </w:r>
      <w:r w:rsidRPr="005B293C">
        <w:rPr>
          <w:rFonts w:ascii="Arial" w:hAnsi="Arial" w:cs="Arial"/>
        </w:rPr>
        <w:tab/>
      </w:r>
      <w:r w:rsidRPr="005B293C">
        <w:rPr>
          <w:rFonts w:ascii="Arial" w:hAnsi="Arial" w:cs="Arial"/>
        </w:rPr>
        <w:tab/>
      </w:r>
      <w:r w:rsidRPr="005B293C">
        <w:rPr>
          <w:rFonts w:ascii="Arial" w:hAnsi="Arial" w:cs="Arial"/>
        </w:rPr>
        <w:tab/>
      </w:r>
      <w:r w:rsidRPr="005B293C">
        <w:rPr>
          <w:rFonts w:ascii="Arial" w:hAnsi="Arial" w:cs="Arial"/>
        </w:rPr>
        <w:tab/>
      </w:r>
      <w:r w:rsidR="0096118B" w:rsidRPr="005B293C">
        <w:rPr>
          <w:rFonts w:ascii="Arial" w:hAnsi="Arial" w:cs="Arial"/>
        </w:rPr>
        <w:tab/>
      </w:r>
    </w:p>
    <w:sectPr w:rsidR="0048640D" w:rsidRPr="009D148C" w:rsidSect="00015864">
      <w:footerReference w:type="default" r:id="rId9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B4F37" w14:textId="77777777" w:rsidR="00820B1F" w:rsidRDefault="00820B1F" w:rsidP="008278AF">
      <w:pPr>
        <w:spacing w:after="0" w:line="240" w:lineRule="auto"/>
      </w:pPr>
      <w:r>
        <w:separator/>
      </w:r>
    </w:p>
  </w:endnote>
  <w:endnote w:type="continuationSeparator" w:id="0">
    <w:p w14:paraId="36CE5C5F" w14:textId="77777777" w:rsidR="00820B1F" w:rsidRDefault="00820B1F" w:rsidP="00827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6717200"/>
      <w:docPartObj>
        <w:docPartGallery w:val="Page Numbers (Bottom of Page)"/>
        <w:docPartUnique/>
      </w:docPartObj>
    </w:sdtPr>
    <w:sdtEndPr/>
    <w:sdtContent>
      <w:p w14:paraId="32A1B117" w14:textId="77777777" w:rsidR="00C4645F" w:rsidRDefault="00C4645F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79F">
          <w:rPr>
            <w:noProof/>
          </w:rPr>
          <w:t>5</w:t>
        </w:r>
        <w:r>
          <w:fldChar w:fldCharType="end"/>
        </w:r>
      </w:p>
    </w:sdtContent>
  </w:sdt>
  <w:p w14:paraId="001384D1" w14:textId="77777777" w:rsidR="00C4645F" w:rsidRDefault="00C4645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18A77" w14:textId="77777777" w:rsidR="00820B1F" w:rsidRDefault="00820B1F" w:rsidP="008278AF">
      <w:pPr>
        <w:spacing w:after="0" w:line="240" w:lineRule="auto"/>
      </w:pPr>
      <w:r>
        <w:separator/>
      </w:r>
    </w:p>
  </w:footnote>
  <w:footnote w:type="continuationSeparator" w:id="0">
    <w:p w14:paraId="0E5BFF4B" w14:textId="77777777" w:rsidR="00820B1F" w:rsidRDefault="00820B1F" w:rsidP="00827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2B6B"/>
    <w:multiLevelType w:val="hybridMultilevel"/>
    <w:tmpl w:val="66FC5B0A"/>
    <w:lvl w:ilvl="0" w:tplc="041A000F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1E090F"/>
    <w:multiLevelType w:val="hybridMultilevel"/>
    <w:tmpl w:val="BDEA2C9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834930"/>
    <w:multiLevelType w:val="hybridMultilevel"/>
    <w:tmpl w:val="66FC5B0A"/>
    <w:lvl w:ilvl="0" w:tplc="041A000F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5857A6"/>
    <w:multiLevelType w:val="hybridMultilevel"/>
    <w:tmpl w:val="AB7C2D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24214"/>
    <w:multiLevelType w:val="hybridMultilevel"/>
    <w:tmpl w:val="C25CEB88"/>
    <w:lvl w:ilvl="0" w:tplc="280EFC4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C5C43"/>
    <w:multiLevelType w:val="hybridMultilevel"/>
    <w:tmpl w:val="6BCCF1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E4A6A"/>
    <w:multiLevelType w:val="hybridMultilevel"/>
    <w:tmpl w:val="FF621F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220DF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0D2"/>
    <w:rsid w:val="00001202"/>
    <w:rsid w:val="000023EB"/>
    <w:rsid w:val="000072A1"/>
    <w:rsid w:val="0001065A"/>
    <w:rsid w:val="00013A27"/>
    <w:rsid w:val="00014520"/>
    <w:rsid w:val="00015864"/>
    <w:rsid w:val="00015CFD"/>
    <w:rsid w:val="00031930"/>
    <w:rsid w:val="000363CC"/>
    <w:rsid w:val="000370AA"/>
    <w:rsid w:val="00045510"/>
    <w:rsid w:val="0005180E"/>
    <w:rsid w:val="00052F1F"/>
    <w:rsid w:val="00053C0C"/>
    <w:rsid w:val="00057149"/>
    <w:rsid w:val="00057D85"/>
    <w:rsid w:val="00063EC9"/>
    <w:rsid w:val="0006443B"/>
    <w:rsid w:val="00064777"/>
    <w:rsid w:val="0006667C"/>
    <w:rsid w:val="00070641"/>
    <w:rsid w:val="0007128D"/>
    <w:rsid w:val="00075D74"/>
    <w:rsid w:val="000764CC"/>
    <w:rsid w:val="00080872"/>
    <w:rsid w:val="000847B7"/>
    <w:rsid w:val="00086BCD"/>
    <w:rsid w:val="00086FDD"/>
    <w:rsid w:val="000872D6"/>
    <w:rsid w:val="000926B4"/>
    <w:rsid w:val="00093034"/>
    <w:rsid w:val="000942BA"/>
    <w:rsid w:val="00096ED8"/>
    <w:rsid w:val="000A2D20"/>
    <w:rsid w:val="000A3E7E"/>
    <w:rsid w:val="000A685A"/>
    <w:rsid w:val="000B07D1"/>
    <w:rsid w:val="000B14DD"/>
    <w:rsid w:val="000B7CBC"/>
    <w:rsid w:val="000B7E50"/>
    <w:rsid w:val="000B7EE4"/>
    <w:rsid w:val="000C1BBD"/>
    <w:rsid w:val="000D25B2"/>
    <w:rsid w:val="000D364F"/>
    <w:rsid w:val="000D51B7"/>
    <w:rsid w:val="000D7B6C"/>
    <w:rsid w:val="000E4A5B"/>
    <w:rsid w:val="000F1DAD"/>
    <w:rsid w:val="0010060E"/>
    <w:rsid w:val="00101559"/>
    <w:rsid w:val="0010708A"/>
    <w:rsid w:val="00110798"/>
    <w:rsid w:val="001138F4"/>
    <w:rsid w:val="00116A50"/>
    <w:rsid w:val="00117F07"/>
    <w:rsid w:val="00130966"/>
    <w:rsid w:val="001319C3"/>
    <w:rsid w:val="00135191"/>
    <w:rsid w:val="001364C1"/>
    <w:rsid w:val="00140776"/>
    <w:rsid w:val="00141287"/>
    <w:rsid w:val="00145156"/>
    <w:rsid w:val="00145406"/>
    <w:rsid w:val="00154B0B"/>
    <w:rsid w:val="00155E42"/>
    <w:rsid w:val="001577B5"/>
    <w:rsid w:val="0016231F"/>
    <w:rsid w:val="00166608"/>
    <w:rsid w:val="00167FA2"/>
    <w:rsid w:val="001719DE"/>
    <w:rsid w:val="001724F3"/>
    <w:rsid w:val="00183358"/>
    <w:rsid w:val="00183618"/>
    <w:rsid w:val="00183655"/>
    <w:rsid w:val="00185F17"/>
    <w:rsid w:val="00190BFA"/>
    <w:rsid w:val="00197C61"/>
    <w:rsid w:val="001A34B6"/>
    <w:rsid w:val="001B0558"/>
    <w:rsid w:val="001B60D2"/>
    <w:rsid w:val="001B63E5"/>
    <w:rsid w:val="001C161E"/>
    <w:rsid w:val="001C6D30"/>
    <w:rsid w:val="001D52F1"/>
    <w:rsid w:val="001D65B5"/>
    <w:rsid w:val="001E0BA9"/>
    <w:rsid w:val="001E1DE6"/>
    <w:rsid w:val="001E4424"/>
    <w:rsid w:val="001E51D6"/>
    <w:rsid w:val="001E6FB8"/>
    <w:rsid w:val="001F6701"/>
    <w:rsid w:val="001F7F7D"/>
    <w:rsid w:val="00200D77"/>
    <w:rsid w:val="00201AC0"/>
    <w:rsid w:val="00204F5C"/>
    <w:rsid w:val="00205980"/>
    <w:rsid w:val="0020609B"/>
    <w:rsid w:val="0022140D"/>
    <w:rsid w:val="00221CEE"/>
    <w:rsid w:val="00221D4F"/>
    <w:rsid w:val="00227537"/>
    <w:rsid w:val="002326F6"/>
    <w:rsid w:val="00234EC6"/>
    <w:rsid w:val="00235028"/>
    <w:rsid w:val="00235B1F"/>
    <w:rsid w:val="00236B37"/>
    <w:rsid w:val="00245C86"/>
    <w:rsid w:val="002463B7"/>
    <w:rsid w:val="00250CF2"/>
    <w:rsid w:val="00251643"/>
    <w:rsid w:val="00251A61"/>
    <w:rsid w:val="00254D2A"/>
    <w:rsid w:val="00255880"/>
    <w:rsid w:val="002576BF"/>
    <w:rsid w:val="00257BC3"/>
    <w:rsid w:val="0026505D"/>
    <w:rsid w:val="0026528C"/>
    <w:rsid w:val="0026641A"/>
    <w:rsid w:val="002673BC"/>
    <w:rsid w:val="0027014C"/>
    <w:rsid w:val="00273B75"/>
    <w:rsid w:val="0028225C"/>
    <w:rsid w:val="002865A5"/>
    <w:rsid w:val="00295945"/>
    <w:rsid w:val="002A23C2"/>
    <w:rsid w:val="002A6E8D"/>
    <w:rsid w:val="002B06E9"/>
    <w:rsid w:val="002B199A"/>
    <w:rsid w:val="002D1229"/>
    <w:rsid w:val="002D1A14"/>
    <w:rsid w:val="002D35D1"/>
    <w:rsid w:val="002D4538"/>
    <w:rsid w:val="002E4B05"/>
    <w:rsid w:val="002E51C7"/>
    <w:rsid w:val="002F474A"/>
    <w:rsid w:val="00310B46"/>
    <w:rsid w:val="00311098"/>
    <w:rsid w:val="003132D7"/>
    <w:rsid w:val="003137B1"/>
    <w:rsid w:val="003151C2"/>
    <w:rsid w:val="00322B74"/>
    <w:rsid w:val="00333145"/>
    <w:rsid w:val="00334113"/>
    <w:rsid w:val="00342999"/>
    <w:rsid w:val="00346525"/>
    <w:rsid w:val="00351752"/>
    <w:rsid w:val="003542A2"/>
    <w:rsid w:val="00356656"/>
    <w:rsid w:val="0036072B"/>
    <w:rsid w:val="003660B6"/>
    <w:rsid w:val="00366FDC"/>
    <w:rsid w:val="00375446"/>
    <w:rsid w:val="00377151"/>
    <w:rsid w:val="003814D9"/>
    <w:rsid w:val="00382009"/>
    <w:rsid w:val="00382CD7"/>
    <w:rsid w:val="0038577A"/>
    <w:rsid w:val="00385F66"/>
    <w:rsid w:val="00387896"/>
    <w:rsid w:val="00391CE9"/>
    <w:rsid w:val="00391E71"/>
    <w:rsid w:val="00394661"/>
    <w:rsid w:val="003A02C4"/>
    <w:rsid w:val="003A075C"/>
    <w:rsid w:val="003A0CAD"/>
    <w:rsid w:val="003B1CDE"/>
    <w:rsid w:val="003B302A"/>
    <w:rsid w:val="003B778A"/>
    <w:rsid w:val="003B7DE2"/>
    <w:rsid w:val="003C3E25"/>
    <w:rsid w:val="003E11C1"/>
    <w:rsid w:val="003E6266"/>
    <w:rsid w:val="003F2678"/>
    <w:rsid w:val="003F2AEE"/>
    <w:rsid w:val="003F7DCE"/>
    <w:rsid w:val="00401794"/>
    <w:rsid w:val="00401A8D"/>
    <w:rsid w:val="004058AF"/>
    <w:rsid w:val="00406788"/>
    <w:rsid w:val="004145E5"/>
    <w:rsid w:val="004224F1"/>
    <w:rsid w:val="00430A27"/>
    <w:rsid w:val="00430F77"/>
    <w:rsid w:val="00432F30"/>
    <w:rsid w:val="0043390F"/>
    <w:rsid w:val="00433FC2"/>
    <w:rsid w:val="0043556E"/>
    <w:rsid w:val="00435C0D"/>
    <w:rsid w:val="0043765A"/>
    <w:rsid w:val="00442937"/>
    <w:rsid w:val="00453B77"/>
    <w:rsid w:val="00456656"/>
    <w:rsid w:val="0045752B"/>
    <w:rsid w:val="00461B0B"/>
    <w:rsid w:val="00463DB0"/>
    <w:rsid w:val="00473155"/>
    <w:rsid w:val="004748F3"/>
    <w:rsid w:val="004812C9"/>
    <w:rsid w:val="0048252B"/>
    <w:rsid w:val="004833BD"/>
    <w:rsid w:val="0048640D"/>
    <w:rsid w:val="0049052C"/>
    <w:rsid w:val="00491174"/>
    <w:rsid w:val="00495A60"/>
    <w:rsid w:val="004A5ABC"/>
    <w:rsid w:val="004A6272"/>
    <w:rsid w:val="004A78E2"/>
    <w:rsid w:val="004B19DF"/>
    <w:rsid w:val="004B2311"/>
    <w:rsid w:val="004B36F9"/>
    <w:rsid w:val="004B6131"/>
    <w:rsid w:val="004D43E1"/>
    <w:rsid w:val="004D535B"/>
    <w:rsid w:val="004D6975"/>
    <w:rsid w:val="004D77CF"/>
    <w:rsid w:val="004E4E8F"/>
    <w:rsid w:val="004E5C7B"/>
    <w:rsid w:val="004F1117"/>
    <w:rsid w:val="004F440B"/>
    <w:rsid w:val="004F4F62"/>
    <w:rsid w:val="004F76F1"/>
    <w:rsid w:val="00504F53"/>
    <w:rsid w:val="00510650"/>
    <w:rsid w:val="0051187D"/>
    <w:rsid w:val="00512D95"/>
    <w:rsid w:val="00513DDA"/>
    <w:rsid w:val="00515A74"/>
    <w:rsid w:val="005211CD"/>
    <w:rsid w:val="0052197D"/>
    <w:rsid w:val="005228B6"/>
    <w:rsid w:val="00530EFE"/>
    <w:rsid w:val="005328E2"/>
    <w:rsid w:val="005426E7"/>
    <w:rsid w:val="005449F7"/>
    <w:rsid w:val="00545AA5"/>
    <w:rsid w:val="005541F1"/>
    <w:rsid w:val="00576B53"/>
    <w:rsid w:val="005804D3"/>
    <w:rsid w:val="0059284A"/>
    <w:rsid w:val="00593E5E"/>
    <w:rsid w:val="005943E5"/>
    <w:rsid w:val="005A1C50"/>
    <w:rsid w:val="005A30F7"/>
    <w:rsid w:val="005A6DC6"/>
    <w:rsid w:val="005A7172"/>
    <w:rsid w:val="005B2913"/>
    <w:rsid w:val="005B293C"/>
    <w:rsid w:val="005B3CC2"/>
    <w:rsid w:val="005D4091"/>
    <w:rsid w:val="005F064A"/>
    <w:rsid w:val="005F3581"/>
    <w:rsid w:val="005F64EF"/>
    <w:rsid w:val="005F67A2"/>
    <w:rsid w:val="00600B16"/>
    <w:rsid w:val="0060127E"/>
    <w:rsid w:val="00604E86"/>
    <w:rsid w:val="00614948"/>
    <w:rsid w:val="00617C52"/>
    <w:rsid w:val="00625AC8"/>
    <w:rsid w:val="006269A3"/>
    <w:rsid w:val="00636879"/>
    <w:rsid w:val="0064194D"/>
    <w:rsid w:val="00642F4D"/>
    <w:rsid w:val="00653024"/>
    <w:rsid w:val="006531A4"/>
    <w:rsid w:val="006548FD"/>
    <w:rsid w:val="006639FF"/>
    <w:rsid w:val="00663B4B"/>
    <w:rsid w:val="006656A9"/>
    <w:rsid w:val="006740CD"/>
    <w:rsid w:val="00677D02"/>
    <w:rsid w:val="006955EE"/>
    <w:rsid w:val="00695925"/>
    <w:rsid w:val="006A5259"/>
    <w:rsid w:val="006A6D86"/>
    <w:rsid w:val="006A6E9E"/>
    <w:rsid w:val="006A7503"/>
    <w:rsid w:val="006B4FAE"/>
    <w:rsid w:val="006C0788"/>
    <w:rsid w:val="006C5A0B"/>
    <w:rsid w:val="006C6014"/>
    <w:rsid w:val="006D1736"/>
    <w:rsid w:val="006D738F"/>
    <w:rsid w:val="006D73A7"/>
    <w:rsid w:val="006E0469"/>
    <w:rsid w:val="006E3DFA"/>
    <w:rsid w:val="006E434A"/>
    <w:rsid w:val="006E4390"/>
    <w:rsid w:val="006E6B68"/>
    <w:rsid w:val="006E6C4B"/>
    <w:rsid w:val="006F39AB"/>
    <w:rsid w:val="006F49B4"/>
    <w:rsid w:val="006F7005"/>
    <w:rsid w:val="00700344"/>
    <w:rsid w:val="00704495"/>
    <w:rsid w:val="0070522A"/>
    <w:rsid w:val="0070606C"/>
    <w:rsid w:val="00707213"/>
    <w:rsid w:val="00712846"/>
    <w:rsid w:val="00716E42"/>
    <w:rsid w:val="00720AB2"/>
    <w:rsid w:val="0072154D"/>
    <w:rsid w:val="0072340A"/>
    <w:rsid w:val="00726EEC"/>
    <w:rsid w:val="00731099"/>
    <w:rsid w:val="00740013"/>
    <w:rsid w:val="007411C9"/>
    <w:rsid w:val="0074281A"/>
    <w:rsid w:val="007503B8"/>
    <w:rsid w:val="00751684"/>
    <w:rsid w:val="00751B4C"/>
    <w:rsid w:val="00751DFD"/>
    <w:rsid w:val="00754B99"/>
    <w:rsid w:val="00761531"/>
    <w:rsid w:val="00765F14"/>
    <w:rsid w:val="0077294E"/>
    <w:rsid w:val="00774851"/>
    <w:rsid w:val="00776FFF"/>
    <w:rsid w:val="00783AC5"/>
    <w:rsid w:val="00794CC2"/>
    <w:rsid w:val="00797EA5"/>
    <w:rsid w:val="007A10D3"/>
    <w:rsid w:val="007A5EBC"/>
    <w:rsid w:val="007A77CE"/>
    <w:rsid w:val="007A7EF1"/>
    <w:rsid w:val="007B45FF"/>
    <w:rsid w:val="007B501C"/>
    <w:rsid w:val="007C34F7"/>
    <w:rsid w:val="007C381D"/>
    <w:rsid w:val="007C52AE"/>
    <w:rsid w:val="007C6C54"/>
    <w:rsid w:val="007D24FC"/>
    <w:rsid w:val="007D3EF7"/>
    <w:rsid w:val="007E2B55"/>
    <w:rsid w:val="007E44C1"/>
    <w:rsid w:val="007F1942"/>
    <w:rsid w:val="007F7D2E"/>
    <w:rsid w:val="00803165"/>
    <w:rsid w:val="008061D9"/>
    <w:rsid w:val="008067C6"/>
    <w:rsid w:val="00806BB3"/>
    <w:rsid w:val="0081188A"/>
    <w:rsid w:val="0081242B"/>
    <w:rsid w:val="00814B98"/>
    <w:rsid w:val="008154B3"/>
    <w:rsid w:val="008160D6"/>
    <w:rsid w:val="0081726C"/>
    <w:rsid w:val="00820848"/>
    <w:rsid w:val="00820862"/>
    <w:rsid w:val="00820B1F"/>
    <w:rsid w:val="008278AF"/>
    <w:rsid w:val="008301C2"/>
    <w:rsid w:val="00830A1F"/>
    <w:rsid w:val="0083106A"/>
    <w:rsid w:val="00835D17"/>
    <w:rsid w:val="008402DB"/>
    <w:rsid w:val="00846ECF"/>
    <w:rsid w:val="00847293"/>
    <w:rsid w:val="00861838"/>
    <w:rsid w:val="00864213"/>
    <w:rsid w:val="008650C0"/>
    <w:rsid w:val="00870E14"/>
    <w:rsid w:val="00870ED4"/>
    <w:rsid w:val="00874433"/>
    <w:rsid w:val="00875E6E"/>
    <w:rsid w:val="0087797D"/>
    <w:rsid w:val="00882A57"/>
    <w:rsid w:val="00883836"/>
    <w:rsid w:val="00883AB0"/>
    <w:rsid w:val="008848CF"/>
    <w:rsid w:val="008860D5"/>
    <w:rsid w:val="00890B65"/>
    <w:rsid w:val="008928E4"/>
    <w:rsid w:val="00894C8D"/>
    <w:rsid w:val="00897110"/>
    <w:rsid w:val="008A226F"/>
    <w:rsid w:val="008A2ECA"/>
    <w:rsid w:val="008A53E2"/>
    <w:rsid w:val="008A5B25"/>
    <w:rsid w:val="008B3184"/>
    <w:rsid w:val="008B3AB1"/>
    <w:rsid w:val="008B4D89"/>
    <w:rsid w:val="008B512B"/>
    <w:rsid w:val="008B5B37"/>
    <w:rsid w:val="008B7671"/>
    <w:rsid w:val="008C5743"/>
    <w:rsid w:val="008C58C1"/>
    <w:rsid w:val="008C5CBE"/>
    <w:rsid w:val="008C7F02"/>
    <w:rsid w:val="008D05F9"/>
    <w:rsid w:val="008D42E8"/>
    <w:rsid w:val="008E1555"/>
    <w:rsid w:val="008E1A44"/>
    <w:rsid w:val="008E21DF"/>
    <w:rsid w:val="008E4062"/>
    <w:rsid w:val="008E5DE6"/>
    <w:rsid w:val="009025A6"/>
    <w:rsid w:val="00902D30"/>
    <w:rsid w:val="009121BB"/>
    <w:rsid w:val="009141FF"/>
    <w:rsid w:val="009219FF"/>
    <w:rsid w:val="00923143"/>
    <w:rsid w:val="00931C84"/>
    <w:rsid w:val="00934EA2"/>
    <w:rsid w:val="0094149B"/>
    <w:rsid w:val="00946BC4"/>
    <w:rsid w:val="00947E5F"/>
    <w:rsid w:val="00951703"/>
    <w:rsid w:val="0095746B"/>
    <w:rsid w:val="0096118B"/>
    <w:rsid w:val="009634E3"/>
    <w:rsid w:val="0096366A"/>
    <w:rsid w:val="009711AE"/>
    <w:rsid w:val="009712A0"/>
    <w:rsid w:val="0097274E"/>
    <w:rsid w:val="00974284"/>
    <w:rsid w:val="009748B3"/>
    <w:rsid w:val="00980FF0"/>
    <w:rsid w:val="009901EE"/>
    <w:rsid w:val="0099730B"/>
    <w:rsid w:val="009A0529"/>
    <w:rsid w:val="009A0AE7"/>
    <w:rsid w:val="009A0B39"/>
    <w:rsid w:val="009A7A4E"/>
    <w:rsid w:val="009A7C31"/>
    <w:rsid w:val="009B14AE"/>
    <w:rsid w:val="009B1DA1"/>
    <w:rsid w:val="009C50E4"/>
    <w:rsid w:val="009C768C"/>
    <w:rsid w:val="009D148C"/>
    <w:rsid w:val="009D7A8B"/>
    <w:rsid w:val="009E1DB0"/>
    <w:rsid w:val="009E4793"/>
    <w:rsid w:val="009E5285"/>
    <w:rsid w:val="009F32C0"/>
    <w:rsid w:val="009F7A51"/>
    <w:rsid w:val="00A01966"/>
    <w:rsid w:val="00A02AA2"/>
    <w:rsid w:val="00A05DFB"/>
    <w:rsid w:val="00A06C14"/>
    <w:rsid w:val="00A07E75"/>
    <w:rsid w:val="00A148C3"/>
    <w:rsid w:val="00A14BCD"/>
    <w:rsid w:val="00A14E91"/>
    <w:rsid w:val="00A31E7D"/>
    <w:rsid w:val="00A33D05"/>
    <w:rsid w:val="00A407C1"/>
    <w:rsid w:val="00A531BD"/>
    <w:rsid w:val="00A544C5"/>
    <w:rsid w:val="00A56C65"/>
    <w:rsid w:val="00A56C9B"/>
    <w:rsid w:val="00A6049C"/>
    <w:rsid w:val="00A60E50"/>
    <w:rsid w:val="00A640C4"/>
    <w:rsid w:val="00A64707"/>
    <w:rsid w:val="00A656A2"/>
    <w:rsid w:val="00A72A63"/>
    <w:rsid w:val="00A91D17"/>
    <w:rsid w:val="00A927BA"/>
    <w:rsid w:val="00A93F58"/>
    <w:rsid w:val="00A95C98"/>
    <w:rsid w:val="00A97EAA"/>
    <w:rsid w:val="00AA170C"/>
    <w:rsid w:val="00AA1C4D"/>
    <w:rsid w:val="00AA3AEC"/>
    <w:rsid w:val="00AA44C2"/>
    <w:rsid w:val="00AA54B7"/>
    <w:rsid w:val="00AB1902"/>
    <w:rsid w:val="00AB3FB9"/>
    <w:rsid w:val="00AC00E5"/>
    <w:rsid w:val="00AC2A06"/>
    <w:rsid w:val="00AC4F12"/>
    <w:rsid w:val="00AC5511"/>
    <w:rsid w:val="00AD385A"/>
    <w:rsid w:val="00AD3CB6"/>
    <w:rsid w:val="00AD4130"/>
    <w:rsid w:val="00AD6114"/>
    <w:rsid w:val="00AF31EB"/>
    <w:rsid w:val="00AF45CF"/>
    <w:rsid w:val="00AF4A5D"/>
    <w:rsid w:val="00AF5345"/>
    <w:rsid w:val="00B0159B"/>
    <w:rsid w:val="00B02684"/>
    <w:rsid w:val="00B16CA7"/>
    <w:rsid w:val="00B26B88"/>
    <w:rsid w:val="00B37832"/>
    <w:rsid w:val="00B40E73"/>
    <w:rsid w:val="00B430AE"/>
    <w:rsid w:val="00B4440E"/>
    <w:rsid w:val="00B47B23"/>
    <w:rsid w:val="00B5272E"/>
    <w:rsid w:val="00B61EE6"/>
    <w:rsid w:val="00B66D09"/>
    <w:rsid w:val="00B67253"/>
    <w:rsid w:val="00B74560"/>
    <w:rsid w:val="00B81DBD"/>
    <w:rsid w:val="00B845DB"/>
    <w:rsid w:val="00B867B5"/>
    <w:rsid w:val="00B90A7A"/>
    <w:rsid w:val="00B92513"/>
    <w:rsid w:val="00B936D9"/>
    <w:rsid w:val="00B93C57"/>
    <w:rsid w:val="00B96488"/>
    <w:rsid w:val="00B97FA4"/>
    <w:rsid w:val="00BA167D"/>
    <w:rsid w:val="00BA2247"/>
    <w:rsid w:val="00BA2584"/>
    <w:rsid w:val="00BA5196"/>
    <w:rsid w:val="00BA63B7"/>
    <w:rsid w:val="00BB3CCF"/>
    <w:rsid w:val="00BB4A8D"/>
    <w:rsid w:val="00BC07F7"/>
    <w:rsid w:val="00BC3C26"/>
    <w:rsid w:val="00BC5D21"/>
    <w:rsid w:val="00BD1E51"/>
    <w:rsid w:val="00BD61A5"/>
    <w:rsid w:val="00BD6605"/>
    <w:rsid w:val="00BE1D96"/>
    <w:rsid w:val="00BE1F7C"/>
    <w:rsid w:val="00BE34DD"/>
    <w:rsid w:val="00BE4466"/>
    <w:rsid w:val="00BE5ABF"/>
    <w:rsid w:val="00BE60F6"/>
    <w:rsid w:val="00BE63E2"/>
    <w:rsid w:val="00BF1167"/>
    <w:rsid w:val="00BF25DC"/>
    <w:rsid w:val="00C012B3"/>
    <w:rsid w:val="00C05A91"/>
    <w:rsid w:val="00C06395"/>
    <w:rsid w:val="00C1000A"/>
    <w:rsid w:val="00C103FB"/>
    <w:rsid w:val="00C14545"/>
    <w:rsid w:val="00C14BA7"/>
    <w:rsid w:val="00C20721"/>
    <w:rsid w:val="00C21BD1"/>
    <w:rsid w:val="00C226CA"/>
    <w:rsid w:val="00C229FF"/>
    <w:rsid w:val="00C24BB7"/>
    <w:rsid w:val="00C32C74"/>
    <w:rsid w:val="00C3679F"/>
    <w:rsid w:val="00C36B1C"/>
    <w:rsid w:val="00C417B9"/>
    <w:rsid w:val="00C41AA1"/>
    <w:rsid w:val="00C4441A"/>
    <w:rsid w:val="00C4645F"/>
    <w:rsid w:val="00C46D70"/>
    <w:rsid w:val="00C555EA"/>
    <w:rsid w:val="00C55FDA"/>
    <w:rsid w:val="00C61F31"/>
    <w:rsid w:val="00C722C5"/>
    <w:rsid w:val="00C738F0"/>
    <w:rsid w:val="00C73D8B"/>
    <w:rsid w:val="00C77A7B"/>
    <w:rsid w:val="00C77AFE"/>
    <w:rsid w:val="00C81FD5"/>
    <w:rsid w:val="00C83989"/>
    <w:rsid w:val="00C84507"/>
    <w:rsid w:val="00C86C50"/>
    <w:rsid w:val="00C93B67"/>
    <w:rsid w:val="00C94294"/>
    <w:rsid w:val="00C94866"/>
    <w:rsid w:val="00C9526D"/>
    <w:rsid w:val="00CA0A15"/>
    <w:rsid w:val="00CB0D2A"/>
    <w:rsid w:val="00CB57A5"/>
    <w:rsid w:val="00CC2DED"/>
    <w:rsid w:val="00CC2F1A"/>
    <w:rsid w:val="00CC6169"/>
    <w:rsid w:val="00CC677A"/>
    <w:rsid w:val="00CE3E4D"/>
    <w:rsid w:val="00CE4141"/>
    <w:rsid w:val="00CE7118"/>
    <w:rsid w:val="00CF2B5B"/>
    <w:rsid w:val="00CF2FE1"/>
    <w:rsid w:val="00CF52C4"/>
    <w:rsid w:val="00CF64E4"/>
    <w:rsid w:val="00D00991"/>
    <w:rsid w:val="00D15356"/>
    <w:rsid w:val="00D16210"/>
    <w:rsid w:val="00D1630E"/>
    <w:rsid w:val="00D25490"/>
    <w:rsid w:val="00D26432"/>
    <w:rsid w:val="00D30280"/>
    <w:rsid w:val="00D370AA"/>
    <w:rsid w:val="00D42FBD"/>
    <w:rsid w:val="00D437C7"/>
    <w:rsid w:val="00D51E39"/>
    <w:rsid w:val="00D53168"/>
    <w:rsid w:val="00D56151"/>
    <w:rsid w:val="00D5722C"/>
    <w:rsid w:val="00D63BC8"/>
    <w:rsid w:val="00D70E8A"/>
    <w:rsid w:val="00D7207D"/>
    <w:rsid w:val="00D74101"/>
    <w:rsid w:val="00D75AC1"/>
    <w:rsid w:val="00D80F75"/>
    <w:rsid w:val="00D86B0B"/>
    <w:rsid w:val="00D90CC1"/>
    <w:rsid w:val="00D91B9D"/>
    <w:rsid w:val="00D933CD"/>
    <w:rsid w:val="00D97FA6"/>
    <w:rsid w:val="00DA1343"/>
    <w:rsid w:val="00DA6D9D"/>
    <w:rsid w:val="00DA7E6A"/>
    <w:rsid w:val="00DB1FEA"/>
    <w:rsid w:val="00DB38F9"/>
    <w:rsid w:val="00DC33A7"/>
    <w:rsid w:val="00DC3877"/>
    <w:rsid w:val="00DC62CB"/>
    <w:rsid w:val="00DC717C"/>
    <w:rsid w:val="00DC7387"/>
    <w:rsid w:val="00DC7820"/>
    <w:rsid w:val="00DD04C5"/>
    <w:rsid w:val="00DD67B3"/>
    <w:rsid w:val="00DD6CA8"/>
    <w:rsid w:val="00DF0582"/>
    <w:rsid w:val="00DF1A93"/>
    <w:rsid w:val="00DF41E8"/>
    <w:rsid w:val="00DF4529"/>
    <w:rsid w:val="00DF639F"/>
    <w:rsid w:val="00E03262"/>
    <w:rsid w:val="00E043AC"/>
    <w:rsid w:val="00E05075"/>
    <w:rsid w:val="00E113DD"/>
    <w:rsid w:val="00E1160A"/>
    <w:rsid w:val="00E11A99"/>
    <w:rsid w:val="00E26FF6"/>
    <w:rsid w:val="00E3096B"/>
    <w:rsid w:val="00E36396"/>
    <w:rsid w:val="00E36C8E"/>
    <w:rsid w:val="00E45F71"/>
    <w:rsid w:val="00E50189"/>
    <w:rsid w:val="00E55E17"/>
    <w:rsid w:val="00E56FBA"/>
    <w:rsid w:val="00E624A9"/>
    <w:rsid w:val="00E664D2"/>
    <w:rsid w:val="00E7114C"/>
    <w:rsid w:val="00E71AFD"/>
    <w:rsid w:val="00E740F3"/>
    <w:rsid w:val="00E752FC"/>
    <w:rsid w:val="00E75B08"/>
    <w:rsid w:val="00E75E2B"/>
    <w:rsid w:val="00E75FEB"/>
    <w:rsid w:val="00E76297"/>
    <w:rsid w:val="00E77005"/>
    <w:rsid w:val="00E82A6C"/>
    <w:rsid w:val="00E84833"/>
    <w:rsid w:val="00EA05AF"/>
    <w:rsid w:val="00EA7826"/>
    <w:rsid w:val="00EB147C"/>
    <w:rsid w:val="00EC402C"/>
    <w:rsid w:val="00EC45A5"/>
    <w:rsid w:val="00EC58A1"/>
    <w:rsid w:val="00ED04FD"/>
    <w:rsid w:val="00ED0B96"/>
    <w:rsid w:val="00ED202C"/>
    <w:rsid w:val="00ED6AC9"/>
    <w:rsid w:val="00EE6660"/>
    <w:rsid w:val="00EF63DC"/>
    <w:rsid w:val="00EF7E1B"/>
    <w:rsid w:val="00F041B4"/>
    <w:rsid w:val="00F06EB1"/>
    <w:rsid w:val="00F12BC1"/>
    <w:rsid w:val="00F13FB8"/>
    <w:rsid w:val="00F17AA3"/>
    <w:rsid w:val="00F20938"/>
    <w:rsid w:val="00F22018"/>
    <w:rsid w:val="00F22314"/>
    <w:rsid w:val="00F250FE"/>
    <w:rsid w:val="00F3223B"/>
    <w:rsid w:val="00F36278"/>
    <w:rsid w:val="00F4768C"/>
    <w:rsid w:val="00F47B44"/>
    <w:rsid w:val="00F52FD1"/>
    <w:rsid w:val="00F63DB8"/>
    <w:rsid w:val="00F74219"/>
    <w:rsid w:val="00F75B21"/>
    <w:rsid w:val="00F77494"/>
    <w:rsid w:val="00F83B7E"/>
    <w:rsid w:val="00F85762"/>
    <w:rsid w:val="00F86D8D"/>
    <w:rsid w:val="00F86EF1"/>
    <w:rsid w:val="00F91FDD"/>
    <w:rsid w:val="00FA391A"/>
    <w:rsid w:val="00FA5CC6"/>
    <w:rsid w:val="00FB2375"/>
    <w:rsid w:val="00FB4E85"/>
    <w:rsid w:val="00FB4F72"/>
    <w:rsid w:val="00FC3511"/>
    <w:rsid w:val="00FC7575"/>
    <w:rsid w:val="00FD1241"/>
    <w:rsid w:val="00FD381B"/>
    <w:rsid w:val="00FE1184"/>
    <w:rsid w:val="00FE11E6"/>
    <w:rsid w:val="00FE4F54"/>
    <w:rsid w:val="00FE52F6"/>
    <w:rsid w:val="00FE73E1"/>
    <w:rsid w:val="00FF0286"/>
    <w:rsid w:val="00FF060C"/>
    <w:rsid w:val="00FF0A7A"/>
    <w:rsid w:val="00FF2008"/>
    <w:rsid w:val="00FF2E18"/>
    <w:rsid w:val="00FF31DD"/>
    <w:rsid w:val="00FF54D4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5E8AA2"/>
  <w15:docId w15:val="{9F4C37B0-6834-48F9-A3BF-9A752633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02C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255880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uiPriority w:val="99"/>
    <w:qFormat/>
    <w:locked/>
    <w:rsid w:val="002558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229F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slov3Char">
    <w:name w:val="Naslov 3 Char"/>
    <w:basedOn w:val="Zadanifontodlomka"/>
    <w:link w:val="Naslov3"/>
    <w:uiPriority w:val="99"/>
    <w:semiHidden/>
    <w:locked/>
    <w:rsid w:val="00C229FF"/>
    <w:rPr>
      <w:rFonts w:ascii="Cambria" w:hAnsi="Cambria" w:cs="Times New Roman"/>
      <w:b/>
      <w:bCs/>
      <w:sz w:val="26"/>
      <w:szCs w:val="26"/>
      <w:lang w:eastAsia="en-US"/>
    </w:rPr>
  </w:style>
  <w:style w:type="paragraph" w:styleId="Odlomakpopisa">
    <w:name w:val="List Paragraph"/>
    <w:basedOn w:val="Normal"/>
    <w:qFormat/>
    <w:rsid w:val="001B60D2"/>
    <w:pPr>
      <w:ind w:left="720"/>
      <w:contextualSpacing/>
    </w:pPr>
  </w:style>
  <w:style w:type="table" w:styleId="Reetkatablice">
    <w:name w:val="Table Grid"/>
    <w:basedOn w:val="Obinatablica"/>
    <w:uiPriority w:val="99"/>
    <w:rsid w:val="00C55F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07128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8E5DE6"/>
    <w:rPr>
      <w:rFonts w:ascii="Times New Roman" w:hAnsi="Times New Roman" w:cs="Times New Roman"/>
      <w:sz w:val="2"/>
      <w:lang w:eastAsia="en-US"/>
    </w:rPr>
  </w:style>
  <w:style w:type="paragraph" w:styleId="Tijeloteksta">
    <w:name w:val="Body Text"/>
    <w:basedOn w:val="Normal"/>
    <w:link w:val="TijelotekstaChar"/>
    <w:rsid w:val="00C73D8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C73D8B"/>
    <w:rPr>
      <w:rFonts w:ascii="Times New Roman" w:eastAsia="Times New Roman" w:hAnsi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827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278AF"/>
    <w:rPr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827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278A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7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0C058-ABA8-4FE6-B1BA-3DA52AD80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1765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OBRAZLOŽENJE UZ POLUGODIŠNJI IZVJEŠTAJ O IZVRŠENJU PRORAČUNA GRADA BUZETA ZA 2013</vt:lpstr>
    </vt:vector>
  </TitlesOfParts>
  <Company>Hewlett-Packard Company</Company>
  <LinksUpToDate>false</LinksUpToDate>
  <CharactersWithSpaces>11805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OBRAZLOŽENJE UZ POLUGODIŠNJI IZVJEŠTAJ O IZVRŠENJU PRORAČUNA GRADA BUZETA ZA 2013</dc:title>
  <dc:subject/>
  <dc:creator>Zvjezdana Majcan</dc:creator>
  <cp:keywords/>
  <dc:description/>
  <cp:lastModifiedBy>Nives Jakac</cp:lastModifiedBy>
  <cp:revision>14</cp:revision>
  <cp:lastPrinted>2022-02-18T06:49:00Z</cp:lastPrinted>
  <dcterms:created xsi:type="dcterms:W3CDTF">2022-02-17T22:33:00Z</dcterms:created>
  <dcterms:modified xsi:type="dcterms:W3CDTF">2022-02-18T07:01:00Z</dcterms:modified>
</cp:coreProperties>
</file>