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AF24" w14:textId="29D3635D" w:rsidR="00022A62" w:rsidRPr="006447F9" w:rsidRDefault="00022A62" w:rsidP="00644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7F9">
        <w:rPr>
          <w:rFonts w:ascii="Arial" w:hAnsi="Arial" w:cs="Arial"/>
          <w:sz w:val="24"/>
          <w:szCs w:val="24"/>
        </w:rPr>
        <w:t>Prilog 2</w:t>
      </w:r>
    </w:p>
    <w:p w14:paraId="32719DEF" w14:textId="70DFCFF0" w:rsidR="00022A62" w:rsidRDefault="00022A62" w:rsidP="001E6E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392299" w14:textId="0BF11D87" w:rsidR="00555491" w:rsidRDefault="00555491" w:rsidP="001E6E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0684A2" w14:textId="77777777" w:rsidR="00555491" w:rsidRDefault="00555491" w:rsidP="001E6E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B5888" w14:textId="77777777" w:rsidR="00555491" w:rsidRDefault="00555491" w:rsidP="001E6E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96DC3" w14:textId="1801E6B0" w:rsidR="00022A62" w:rsidRDefault="00022A62" w:rsidP="001E6E0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5491">
        <w:rPr>
          <w:rFonts w:ascii="Arial" w:hAnsi="Arial" w:cs="Arial"/>
          <w:b/>
          <w:bCs/>
          <w:sz w:val="32"/>
          <w:szCs w:val="32"/>
        </w:rPr>
        <w:t>POSEBNI IZVJEŠTAJI</w:t>
      </w:r>
    </w:p>
    <w:p w14:paraId="2FF9BC07" w14:textId="7887F34A" w:rsidR="001E6E0E" w:rsidRPr="00393681" w:rsidRDefault="001E6E0E" w:rsidP="001E6E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681">
        <w:rPr>
          <w:rFonts w:ascii="Arial" w:hAnsi="Arial" w:cs="Arial"/>
          <w:sz w:val="24"/>
          <w:szCs w:val="24"/>
        </w:rPr>
        <w:t>UZ POLUGODIŠNJI IZVJEŠTAJ</w:t>
      </w:r>
    </w:p>
    <w:p w14:paraId="1AAF2F8A" w14:textId="5C67DFCF" w:rsidR="001E6E0E" w:rsidRPr="00393681" w:rsidRDefault="001E6E0E" w:rsidP="001E6E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681">
        <w:rPr>
          <w:rFonts w:ascii="Arial" w:hAnsi="Arial" w:cs="Arial"/>
          <w:sz w:val="24"/>
          <w:szCs w:val="24"/>
        </w:rPr>
        <w:t>O IZVRŠENJU PRORAČUNA GRADA BUZETA</w:t>
      </w:r>
    </w:p>
    <w:p w14:paraId="44D89C24" w14:textId="4DBF7030" w:rsidR="00022A62" w:rsidRPr="00393681" w:rsidRDefault="001E6E0E" w:rsidP="001E6E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681">
        <w:rPr>
          <w:rFonts w:ascii="Arial" w:hAnsi="Arial" w:cs="Arial"/>
          <w:sz w:val="24"/>
          <w:szCs w:val="24"/>
        </w:rPr>
        <w:t>ZA RAZDOBLJE SIJEČANJ – LIPANJ 2022. GODINE</w:t>
      </w:r>
    </w:p>
    <w:p w14:paraId="53DDA96E" w14:textId="77777777" w:rsidR="00555491" w:rsidRPr="00393681" w:rsidRDefault="00555491" w:rsidP="00644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84F6E" w14:textId="3BE276F3" w:rsid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FA1C6B" w14:textId="0B213467" w:rsidR="001E6E0E" w:rsidRDefault="001E6E0E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E40CE4" w14:textId="77777777" w:rsidR="001E6E0E" w:rsidRDefault="001E6E0E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82F82A" w14:textId="0F774CAF" w:rsidR="00555491" w:rsidRDefault="00555491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C59EDA" w14:textId="1C10E871" w:rsidR="00555491" w:rsidRDefault="001E6E0E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5274969"/>
      <w:r>
        <w:rPr>
          <w:rFonts w:ascii="Arial" w:hAnsi="Arial" w:cs="Arial"/>
          <w:b/>
          <w:bCs/>
          <w:sz w:val="24"/>
          <w:szCs w:val="24"/>
        </w:rPr>
        <w:t>SADRŽAJ</w:t>
      </w:r>
    </w:p>
    <w:p w14:paraId="4FB20A98" w14:textId="48A9E722" w:rsidR="001E6E0E" w:rsidRPr="001E6E0E" w:rsidRDefault="001E6E0E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14E13D" w14:textId="0DDFC096" w:rsidR="001E6E0E" w:rsidRPr="008C2D16" w:rsidRDefault="001E6E0E" w:rsidP="008C2D1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04942C" w14:textId="099A69D8" w:rsidR="00381172" w:rsidRPr="00381172" w:rsidRDefault="001E6E0E" w:rsidP="00381172">
      <w:pPr>
        <w:pStyle w:val="Sadraj1"/>
        <w:rPr>
          <w:rFonts w:eastAsiaTheme="minorEastAsia"/>
          <w:lang w:eastAsia="hr-HR"/>
        </w:rPr>
      </w:pPr>
      <w:r w:rsidRPr="00381172">
        <w:fldChar w:fldCharType="begin"/>
      </w:r>
      <w:r w:rsidRPr="00381172">
        <w:instrText xml:space="preserve"> TOC \o "1-3" \h \z \u </w:instrText>
      </w:r>
      <w:r w:rsidRPr="00381172">
        <w:fldChar w:fldCharType="separate"/>
      </w:r>
      <w:hyperlink w:anchor="_Toc115441262" w:history="1">
        <w:r w:rsidR="00381172" w:rsidRPr="00381172">
          <w:rPr>
            <w:rStyle w:val="Hiperveza"/>
          </w:rPr>
          <w:t>1</w:t>
        </w:r>
        <w:r w:rsidR="00381172" w:rsidRPr="00381172">
          <w:rPr>
            <w:rFonts w:eastAsiaTheme="minorEastAsia"/>
            <w:lang w:eastAsia="hr-HR"/>
          </w:rPr>
          <w:tab/>
        </w:r>
        <w:r w:rsidR="00381172" w:rsidRPr="00381172">
          <w:rPr>
            <w:rStyle w:val="Hiperveza"/>
          </w:rPr>
          <w:t>IZVJEŠTAJ O KORIŠTENJU PRORAČUNSKE ZALIHE</w:t>
        </w:r>
        <w:r w:rsidR="00381172" w:rsidRPr="00381172">
          <w:rPr>
            <w:webHidden/>
          </w:rPr>
          <w:tab/>
        </w:r>
        <w:r w:rsidR="00381172" w:rsidRPr="00381172">
          <w:rPr>
            <w:webHidden/>
          </w:rPr>
          <w:fldChar w:fldCharType="begin"/>
        </w:r>
        <w:r w:rsidR="00381172" w:rsidRPr="00381172">
          <w:rPr>
            <w:webHidden/>
          </w:rPr>
          <w:instrText xml:space="preserve"> PAGEREF _Toc115441262 \h </w:instrText>
        </w:r>
        <w:r w:rsidR="00381172" w:rsidRPr="00381172">
          <w:rPr>
            <w:webHidden/>
          </w:rPr>
        </w:r>
        <w:r w:rsidR="00381172" w:rsidRPr="00381172">
          <w:rPr>
            <w:webHidden/>
          </w:rPr>
          <w:fldChar w:fldCharType="separate"/>
        </w:r>
        <w:r w:rsidR="00381172" w:rsidRPr="00381172">
          <w:rPr>
            <w:webHidden/>
          </w:rPr>
          <w:t>1</w:t>
        </w:r>
        <w:r w:rsidR="00381172" w:rsidRPr="00381172">
          <w:rPr>
            <w:webHidden/>
          </w:rPr>
          <w:fldChar w:fldCharType="end"/>
        </w:r>
      </w:hyperlink>
    </w:p>
    <w:p w14:paraId="0CB51469" w14:textId="406F22A4" w:rsidR="00381172" w:rsidRPr="00381172" w:rsidRDefault="00381172" w:rsidP="00381172">
      <w:pPr>
        <w:pStyle w:val="Sadraj1"/>
        <w:rPr>
          <w:rFonts w:eastAsiaTheme="minorEastAsia"/>
          <w:lang w:eastAsia="hr-HR"/>
        </w:rPr>
      </w:pPr>
      <w:hyperlink w:anchor="_Toc115441263" w:history="1">
        <w:r w:rsidRPr="00381172">
          <w:rPr>
            <w:rStyle w:val="Hiperveza"/>
          </w:rPr>
          <w:t>2</w:t>
        </w:r>
        <w:r w:rsidRPr="00381172">
          <w:rPr>
            <w:rFonts w:eastAsiaTheme="minorEastAsia"/>
            <w:lang w:eastAsia="hr-HR"/>
          </w:rPr>
          <w:tab/>
        </w:r>
        <w:r w:rsidRPr="00381172">
          <w:rPr>
            <w:rStyle w:val="Hiperveza"/>
          </w:rPr>
          <w:t>IZVJEŠTAJ O ZADUŽIVANJU NA DOMAĆEM I STRANOM TRŽIŠTU NOVCA I KAPITALA</w:t>
        </w:r>
        <w:r w:rsidRPr="00381172">
          <w:rPr>
            <w:webHidden/>
          </w:rPr>
          <w:tab/>
        </w:r>
        <w:r w:rsidRPr="00381172">
          <w:rPr>
            <w:webHidden/>
          </w:rPr>
          <w:fldChar w:fldCharType="begin"/>
        </w:r>
        <w:r w:rsidRPr="00381172">
          <w:rPr>
            <w:webHidden/>
          </w:rPr>
          <w:instrText xml:space="preserve"> PAGEREF _Toc115441263 \h </w:instrText>
        </w:r>
        <w:r w:rsidRPr="00381172">
          <w:rPr>
            <w:webHidden/>
          </w:rPr>
        </w:r>
        <w:r w:rsidRPr="00381172">
          <w:rPr>
            <w:webHidden/>
          </w:rPr>
          <w:fldChar w:fldCharType="separate"/>
        </w:r>
        <w:r w:rsidRPr="00381172">
          <w:rPr>
            <w:webHidden/>
          </w:rPr>
          <w:t>2</w:t>
        </w:r>
        <w:r w:rsidRPr="00381172">
          <w:rPr>
            <w:webHidden/>
          </w:rPr>
          <w:fldChar w:fldCharType="end"/>
        </w:r>
      </w:hyperlink>
    </w:p>
    <w:p w14:paraId="19DCAB02" w14:textId="6F40E5B0" w:rsidR="00381172" w:rsidRPr="00381172" w:rsidRDefault="00381172" w:rsidP="00381172">
      <w:pPr>
        <w:pStyle w:val="Sadraj2"/>
        <w:tabs>
          <w:tab w:val="left" w:pos="880"/>
          <w:tab w:val="right" w:leader="dot" w:pos="9016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115441264" w:history="1"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2.1</w:t>
        </w:r>
        <w:r w:rsidRPr="00381172">
          <w:rPr>
            <w:rFonts w:ascii="Arial" w:eastAsiaTheme="minorEastAsia" w:hAnsi="Arial" w:cs="Arial"/>
            <w:noProof/>
            <w:sz w:val="24"/>
            <w:szCs w:val="24"/>
            <w:lang w:eastAsia="hr-HR"/>
          </w:rPr>
          <w:tab/>
        </w:r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Ostala zaduženja proračunskih korisnika i trgovačkih društava u vlasništvu Grada Buzeta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_Toc115441264 \h </w:instrTex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1991B4E" w14:textId="00DF2D5A" w:rsidR="00381172" w:rsidRPr="00381172" w:rsidRDefault="00381172" w:rsidP="00381172">
      <w:pPr>
        <w:pStyle w:val="Sadraj3"/>
        <w:tabs>
          <w:tab w:val="left" w:pos="1320"/>
          <w:tab w:val="right" w:leader="dot" w:pos="9016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115441265" w:history="1"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2.1.1</w:t>
        </w:r>
        <w:r w:rsidRPr="00381172">
          <w:rPr>
            <w:rFonts w:ascii="Arial" w:eastAsiaTheme="minorEastAsia" w:hAnsi="Arial" w:cs="Arial"/>
            <w:noProof/>
            <w:sz w:val="24"/>
            <w:szCs w:val="24"/>
            <w:lang w:eastAsia="hr-HR"/>
          </w:rPr>
          <w:tab/>
        </w:r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Park d.o.o. (suglasnost)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_Toc115441265 \h </w:instrTex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9B9664A" w14:textId="60C773A1" w:rsidR="00381172" w:rsidRPr="00381172" w:rsidRDefault="00381172" w:rsidP="00381172">
      <w:pPr>
        <w:pStyle w:val="Sadraj3"/>
        <w:tabs>
          <w:tab w:val="left" w:pos="1320"/>
          <w:tab w:val="right" w:leader="dot" w:pos="9016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115441266" w:history="1"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2.1.2</w:t>
        </w:r>
        <w:r w:rsidRPr="00381172">
          <w:rPr>
            <w:rFonts w:ascii="Arial" w:eastAsiaTheme="minorEastAsia" w:hAnsi="Arial" w:cs="Arial"/>
            <w:noProof/>
            <w:sz w:val="24"/>
            <w:szCs w:val="24"/>
            <w:lang w:eastAsia="hr-HR"/>
          </w:rPr>
          <w:tab/>
        </w:r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Dom za starije Buzet (jamstvo)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_Toc115441266 \h </w:instrTex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895EE63" w14:textId="7F3400C5" w:rsidR="00381172" w:rsidRPr="00381172" w:rsidRDefault="00381172" w:rsidP="00381172">
      <w:pPr>
        <w:pStyle w:val="Sadraj2"/>
        <w:tabs>
          <w:tab w:val="left" w:pos="880"/>
          <w:tab w:val="right" w:leader="dot" w:pos="9016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115441267" w:history="1"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2.2</w:t>
        </w:r>
        <w:r w:rsidRPr="00381172">
          <w:rPr>
            <w:rFonts w:ascii="Arial" w:eastAsiaTheme="minorEastAsia" w:hAnsi="Arial" w:cs="Arial"/>
            <w:noProof/>
            <w:sz w:val="24"/>
            <w:szCs w:val="24"/>
            <w:lang w:eastAsia="hr-HR"/>
          </w:rPr>
          <w:tab/>
        </w:r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Ostale obveze temeljem ugovora/sporazuma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_Toc115441267 \h </w:instrTex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AE72D13" w14:textId="1B5D5CDB" w:rsidR="00381172" w:rsidRPr="00381172" w:rsidRDefault="00381172" w:rsidP="00381172">
      <w:pPr>
        <w:pStyle w:val="Sadraj3"/>
        <w:tabs>
          <w:tab w:val="left" w:pos="1320"/>
          <w:tab w:val="right" w:leader="dot" w:pos="9016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115441268" w:history="1"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2.2.1</w:t>
        </w:r>
        <w:r w:rsidRPr="00381172">
          <w:rPr>
            <w:rFonts w:ascii="Arial" w:eastAsiaTheme="minorEastAsia" w:hAnsi="Arial" w:cs="Arial"/>
            <w:noProof/>
            <w:sz w:val="24"/>
            <w:szCs w:val="24"/>
            <w:lang w:eastAsia="hr-HR"/>
          </w:rPr>
          <w:tab/>
        </w:r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Sufinanciranje izgradnje i opremanja nove opće bolnice u Puli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_Toc115441268 \h </w:instrTex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1B8F4F6" w14:textId="6180CF75" w:rsidR="00381172" w:rsidRPr="00381172" w:rsidRDefault="00381172" w:rsidP="00381172">
      <w:pPr>
        <w:pStyle w:val="Sadraj3"/>
        <w:tabs>
          <w:tab w:val="left" w:pos="1320"/>
          <w:tab w:val="right" w:leader="dot" w:pos="9016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115441269" w:history="1">
        <w:r w:rsidRPr="00381172">
          <w:rPr>
            <w:rStyle w:val="Hiperveza"/>
            <w:rFonts w:ascii="Arial" w:hAnsi="Arial" w:cs="Arial"/>
            <w:bCs/>
            <w:noProof/>
            <w:sz w:val="24"/>
            <w:szCs w:val="24"/>
          </w:rPr>
          <w:t>2.2.2</w:t>
        </w:r>
        <w:r w:rsidRPr="00381172">
          <w:rPr>
            <w:rFonts w:ascii="Arial" w:eastAsiaTheme="minorEastAsia" w:hAnsi="Arial" w:cs="Arial"/>
            <w:noProof/>
            <w:sz w:val="24"/>
            <w:szCs w:val="24"/>
            <w:lang w:eastAsia="hr-HR"/>
          </w:rPr>
          <w:tab/>
        </w:r>
        <w:r w:rsidRPr="00381172">
          <w:rPr>
            <w:rStyle w:val="Hiperveza"/>
            <w:rFonts w:ascii="Arial" w:hAnsi="Arial" w:cs="Arial"/>
            <w:noProof/>
            <w:sz w:val="24"/>
            <w:szCs w:val="24"/>
          </w:rPr>
          <w:t>Sufinanciranje izgradnje županijskog centra za gospodarenje otpadom – Kaštijun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_Toc115441269 \h </w:instrTex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38117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F9A7103" w14:textId="6BC23BA7" w:rsidR="00381172" w:rsidRPr="00381172" w:rsidRDefault="00381172" w:rsidP="00381172">
      <w:pPr>
        <w:pStyle w:val="Sadraj1"/>
        <w:rPr>
          <w:rFonts w:eastAsiaTheme="minorEastAsia"/>
          <w:lang w:eastAsia="hr-HR"/>
        </w:rPr>
      </w:pPr>
      <w:hyperlink w:anchor="_Toc115441270" w:history="1">
        <w:r w:rsidRPr="00381172">
          <w:rPr>
            <w:rStyle w:val="Hiperveza"/>
          </w:rPr>
          <w:t>3</w:t>
        </w:r>
        <w:r w:rsidRPr="00381172">
          <w:rPr>
            <w:rFonts w:eastAsiaTheme="minorEastAsia"/>
            <w:lang w:eastAsia="hr-HR"/>
          </w:rPr>
          <w:tab/>
        </w:r>
        <w:r w:rsidRPr="00381172">
          <w:rPr>
            <w:rStyle w:val="Hiperveza"/>
          </w:rPr>
          <w:t>IZVJEŠTAJ OD DANIM JAMSTVIMA I PLAĆANJIMA PO PROTESTIRANIM JAMSTVIMA</w:t>
        </w:r>
        <w:r w:rsidRPr="00381172">
          <w:rPr>
            <w:webHidden/>
          </w:rPr>
          <w:tab/>
        </w:r>
        <w:r w:rsidRPr="00381172">
          <w:rPr>
            <w:webHidden/>
          </w:rPr>
          <w:fldChar w:fldCharType="begin"/>
        </w:r>
        <w:r w:rsidRPr="00381172">
          <w:rPr>
            <w:webHidden/>
          </w:rPr>
          <w:instrText xml:space="preserve"> PAGEREF _Toc115441270 \h </w:instrText>
        </w:r>
        <w:r w:rsidRPr="00381172">
          <w:rPr>
            <w:webHidden/>
          </w:rPr>
        </w:r>
        <w:r w:rsidRPr="00381172">
          <w:rPr>
            <w:webHidden/>
          </w:rPr>
          <w:fldChar w:fldCharType="separate"/>
        </w:r>
        <w:r w:rsidRPr="00381172">
          <w:rPr>
            <w:webHidden/>
          </w:rPr>
          <w:t>5</w:t>
        </w:r>
        <w:r w:rsidRPr="00381172">
          <w:rPr>
            <w:webHidden/>
          </w:rPr>
          <w:fldChar w:fldCharType="end"/>
        </w:r>
      </w:hyperlink>
    </w:p>
    <w:p w14:paraId="5BEBE87F" w14:textId="22EE4C4B" w:rsidR="001E6E0E" w:rsidRPr="001E6E0E" w:rsidRDefault="001E6E0E" w:rsidP="003811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81172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54D7DD4" w14:textId="0DE7D822" w:rsidR="001E6E0E" w:rsidRDefault="001E6E0E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0"/>
    <w:p w14:paraId="0D8C682F" w14:textId="1F66DFF1" w:rsidR="00022A62" w:rsidRPr="00022A62" w:rsidRDefault="00022A62" w:rsidP="001E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94A08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A23DCD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C2FCC9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C907E2" w14:textId="77777777" w:rsidR="00555491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555491" w:rsidSect="00555491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022A62">
        <w:rPr>
          <w:rFonts w:ascii="Arial" w:hAnsi="Arial" w:cs="Arial"/>
          <w:b/>
          <w:bCs/>
          <w:sz w:val="24"/>
          <w:szCs w:val="24"/>
        </w:rPr>
        <w:br w:type="page"/>
      </w:r>
    </w:p>
    <w:p w14:paraId="7B3575BD" w14:textId="4EF6128F" w:rsidR="00022A62" w:rsidRPr="00022A62" w:rsidRDefault="001E6E0E" w:rsidP="001E6E0E">
      <w:pPr>
        <w:pStyle w:val="Naslov1"/>
        <w:spacing w:before="0"/>
        <w:rPr>
          <w:rFonts w:cs="Arial"/>
          <w:sz w:val="24"/>
          <w:szCs w:val="24"/>
        </w:rPr>
      </w:pPr>
      <w:bookmarkStart w:id="1" w:name="_Toc115274961"/>
      <w:bookmarkStart w:id="2" w:name="_Toc115441262"/>
      <w:r w:rsidRPr="00022A62">
        <w:rPr>
          <w:rFonts w:cs="Arial"/>
          <w:sz w:val="24"/>
          <w:szCs w:val="24"/>
        </w:rPr>
        <w:lastRenderedPageBreak/>
        <w:t>IZVJEŠTAJ O KORIŠTENJU PRORAČUNSKE ZALIHE</w:t>
      </w:r>
      <w:bookmarkEnd w:id="1"/>
      <w:bookmarkEnd w:id="2"/>
    </w:p>
    <w:p w14:paraId="7CA149DF" w14:textId="54A85307" w:rsid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860FB4" w14:textId="2A155644" w:rsidR="00BB5ACD" w:rsidRPr="00BB5ACD" w:rsidRDefault="00BB5ACD" w:rsidP="00BB5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B2AA4B" w14:textId="77777777" w:rsidR="00BB5ACD" w:rsidRP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ACD">
        <w:rPr>
          <w:rFonts w:ascii="Arial" w:hAnsi="Arial" w:cs="Arial"/>
          <w:sz w:val="24"/>
          <w:szCs w:val="24"/>
        </w:rPr>
        <w:t>U Proračunu Grada Buzeta za 2022. godinu u Razdjelu 200 na poziciji R492 planirana su sredstva za nepredviđene rashode do visine proračunske zalihe u iznosu od 40.000,00 kuna.</w:t>
      </w:r>
    </w:p>
    <w:p w14:paraId="513BD1AB" w14:textId="5F35A427" w:rsid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ACD">
        <w:rPr>
          <w:rFonts w:ascii="Arial" w:hAnsi="Arial" w:cs="Arial"/>
          <w:sz w:val="24"/>
          <w:szCs w:val="24"/>
        </w:rPr>
        <w:t xml:space="preserve">U razdoblju od 1. siječnja 2022. do 30. lipnja 2022. godine realizirano je ukupno 2.251,00 kune. </w:t>
      </w:r>
    </w:p>
    <w:p w14:paraId="27E75153" w14:textId="77777777" w:rsidR="00BB5ACD" w:rsidRP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75F77" w14:textId="77777777" w:rsidR="00BB5ACD" w:rsidRP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ACD">
        <w:rPr>
          <w:rFonts w:ascii="Arial" w:hAnsi="Arial" w:cs="Arial"/>
          <w:sz w:val="24"/>
          <w:szCs w:val="24"/>
        </w:rPr>
        <w:t>Tablica u nastavku donosi prikaz utroška sredstava prema korisniku i namjeni.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9"/>
        <w:gridCol w:w="3413"/>
        <w:gridCol w:w="1666"/>
        <w:gridCol w:w="1248"/>
      </w:tblGrid>
      <w:tr w:rsidR="00BB5ACD" w:rsidRPr="00BB5ACD" w14:paraId="790D6C81" w14:textId="77777777" w:rsidTr="00BB5ACD">
        <w:trPr>
          <w:trHeight w:val="346"/>
        </w:trPr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EAAAA"/>
            <w:vAlign w:val="center"/>
          </w:tcPr>
          <w:p w14:paraId="0D4649FA" w14:textId="77777777" w:rsidR="00BB5ACD" w:rsidRPr="00BB5ACD" w:rsidRDefault="00BB5ACD" w:rsidP="00BB5A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B5ACD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Korisnik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EAAAA"/>
            <w:vAlign w:val="center"/>
          </w:tcPr>
          <w:p w14:paraId="5C90A51B" w14:textId="77777777" w:rsidR="00BB5ACD" w:rsidRPr="00BB5ACD" w:rsidRDefault="00BB5ACD" w:rsidP="00BB5A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EAAAA"/>
            <w:vAlign w:val="center"/>
          </w:tcPr>
          <w:p w14:paraId="341AD9DF" w14:textId="77777777" w:rsidR="00BB5ACD" w:rsidRPr="00BB5ACD" w:rsidRDefault="00BB5ACD" w:rsidP="00BB5A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EAAAA"/>
            <w:vAlign w:val="center"/>
          </w:tcPr>
          <w:p w14:paraId="05250A6B" w14:textId="77777777" w:rsidR="00BB5ACD" w:rsidRPr="00BB5ACD" w:rsidRDefault="00BB5ACD" w:rsidP="00BB5A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Iznos - kn</w:t>
            </w:r>
          </w:p>
        </w:tc>
      </w:tr>
      <w:tr w:rsidR="00BB5ACD" w:rsidRPr="00BB5ACD" w14:paraId="704F5EEB" w14:textId="77777777" w:rsidTr="00BB5ACD"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3089590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Istriana</w:t>
            </w:r>
            <w:proofErr w:type="spellEnd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travel</w:t>
            </w:r>
            <w:proofErr w:type="spellEnd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B5E832A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 xml:space="preserve">Podmirenje troškova terenske nastave učenicima iz Ukrajine 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3DAB189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24. 6.2022.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D98EFC" w14:textId="77777777" w:rsidR="00BB5ACD" w:rsidRPr="00BB5ACD" w:rsidRDefault="00BB5ACD" w:rsidP="00BB5A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215,00</w:t>
            </w:r>
          </w:p>
        </w:tc>
      </w:tr>
      <w:tr w:rsidR="00BB5ACD" w:rsidRPr="00BB5ACD" w14:paraId="64176480" w14:textId="77777777" w:rsidTr="00BB5ACD"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FF94380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Istarska županija/OŠ „V. </w:t>
            </w:r>
            <w:proofErr w:type="spellStart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Gržalja</w:t>
            </w:r>
            <w:proofErr w:type="spellEnd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“ Buzet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89F4F29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Podmirenje troškova terenske nastave učenicima iz Ukrajine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2AC7A36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24. 6. 2022.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D94ACD" w14:textId="77777777" w:rsidR="00BB5ACD" w:rsidRPr="00BB5ACD" w:rsidRDefault="00BB5ACD" w:rsidP="00BB5A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BB5ACD" w:rsidRPr="00BB5ACD" w14:paraId="4F211197" w14:textId="77777777" w:rsidTr="00BB5ACD">
        <w:tc>
          <w:tcPr>
            <w:tcW w:w="14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0776E05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Istarska županija/OŠ „V. </w:t>
            </w:r>
            <w:proofErr w:type="spellStart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Gržalja</w:t>
            </w:r>
            <w:proofErr w:type="spellEnd"/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“ Buzet</w:t>
            </w:r>
          </w:p>
        </w:tc>
        <w:tc>
          <w:tcPr>
            <w:tcW w:w="18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0C4A8C2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Sufinanciranje troškova obroka učenicima iz Ukrajine</w:t>
            </w:r>
          </w:p>
        </w:tc>
        <w:tc>
          <w:tcPr>
            <w:tcW w:w="9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38AE688" w14:textId="77777777" w:rsidR="00BB5ACD" w:rsidRPr="00BB5ACD" w:rsidRDefault="00BB5ACD" w:rsidP="00BB5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30. 6. 2022.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BAB0E6" w14:textId="77777777" w:rsidR="00BB5ACD" w:rsidRPr="00BB5ACD" w:rsidRDefault="00BB5ACD" w:rsidP="00BB5A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t>1.896,00</w:t>
            </w:r>
          </w:p>
        </w:tc>
      </w:tr>
      <w:tr w:rsidR="00BB5ACD" w:rsidRPr="00BB5ACD" w14:paraId="4A6C0181" w14:textId="77777777" w:rsidTr="00BB5ACD">
        <w:tc>
          <w:tcPr>
            <w:tcW w:w="430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2ACA3E0" w14:textId="77777777" w:rsidR="00BB5ACD" w:rsidRPr="00BB5ACD" w:rsidRDefault="00BB5ACD" w:rsidP="00BB5A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6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17A6EF" w14:textId="77777777" w:rsidR="00BB5ACD" w:rsidRPr="00BB5ACD" w:rsidRDefault="00BB5ACD" w:rsidP="00BB5A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5AC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B5ACD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BB5A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5ACD">
              <w:rPr>
                <w:rFonts w:ascii="Arial" w:hAnsi="Arial" w:cs="Arial"/>
                <w:noProof/>
                <w:sz w:val="24"/>
                <w:szCs w:val="24"/>
              </w:rPr>
              <w:t>2.251</w:t>
            </w:r>
            <w:r w:rsidRPr="00BB5A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B5AC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2C82943F" w14:textId="77777777" w:rsidR="00BB5ACD" w:rsidRPr="00BB5ACD" w:rsidRDefault="00BB5ACD" w:rsidP="00BB5A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F364D3B" w14:textId="57D9A4FF" w:rsidR="00BB5ACD" w:rsidRP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ACD">
        <w:rPr>
          <w:rFonts w:ascii="Arial" w:hAnsi="Arial" w:cs="Arial"/>
          <w:sz w:val="24"/>
          <w:szCs w:val="24"/>
        </w:rPr>
        <w:t xml:space="preserve">Korištenje sredstava proračunske zalihe regulirano je odredbama članka 65. i 66. Zakona o proračunu („Narodne novine“ br. 144/2021) i čl. 8 Odluke o izvršavanju Proračuna Grada Buzeta za 2022. godinu („Službene novine Grada Buzeta br.10/21). Člankom 65. Zakona  propisano je da sredstva proračunske zalihe mogu iznositi najviše 0,50 posto planiranih općih prihoda proračuna tekuće godine bez primitaka. Visina sredstava proračunske zalihe utvrđuje se odlukom o izvršavanju proračuna. U proračunu Grada Buzeta </w:t>
      </w:r>
      <w:r w:rsidRPr="00BB5ACD">
        <w:rPr>
          <w:rFonts w:ascii="Arial" w:eastAsia="Times New Roman" w:hAnsi="Arial" w:cs="Arial"/>
          <w:sz w:val="24"/>
          <w:szCs w:val="24"/>
          <w:lang w:eastAsia="hr-HR"/>
        </w:rPr>
        <w:t xml:space="preserve">za 2022. godinu („Službene novine Grada Buzeta“, broj 10/21) </w:t>
      </w:r>
      <w:r w:rsidRPr="00BB5ACD">
        <w:rPr>
          <w:rFonts w:ascii="Arial" w:hAnsi="Arial" w:cs="Arial"/>
          <w:sz w:val="24"/>
          <w:szCs w:val="24"/>
        </w:rPr>
        <w:t>u 2022. godini planirana su sredstva proračunske zalihe u visini od 40.000,00 kuna.</w:t>
      </w:r>
    </w:p>
    <w:p w14:paraId="213DB0B8" w14:textId="77777777" w:rsidR="00BB5ACD" w:rsidRP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ACD">
        <w:rPr>
          <w:rFonts w:ascii="Arial" w:hAnsi="Arial" w:cs="Arial"/>
          <w:sz w:val="24"/>
          <w:szCs w:val="24"/>
        </w:rPr>
        <w:t xml:space="preserve">Sredstva proračunske zalihe koriste se za financiranje rashoda nastalih pri otklanjanju posljedica elementarnih nepogoda, epidemija, ekoloških i ostalih nepredvidivih nesreća odnosno izvanrednih događaja tijekom godine. </w:t>
      </w:r>
      <w:r w:rsidRPr="00BB5ACD">
        <w:rPr>
          <w:rFonts w:ascii="Arial" w:hAnsi="Arial" w:cs="Arial"/>
          <w:bCs/>
          <w:sz w:val="24"/>
          <w:szCs w:val="24"/>
        </w:rPr>
        <w:t>Člankom 66</w:t>
      </w:r>
      <w:r w:rsidRPr="00BB5ACD">
        <w:rPr>
          <w:rFonts w:ascii="Arial" w:hAnsi="Arial" w:cs="Arial"/>
          <w:sz w:val="24"/>
          <w:szCs w:val="24"/>
        </w:rPr>
        <w:t xml:space="preserve">. stavak 3. Zakona o proračunu propisana je obveza tromjesečnog izvještavanja o korištenju sredstava proračunske zalihe. U razdoblju od siječnja do ožujka 2022. sredstva proračunske zalihe nisu bila utrošena. </w:t>
      </w:r>
    </w:p>
    <w:p w14:paraId="56B145FA" w14:textId="77777777" w:rsidR="00BB5ACD" w:rsidRPr="00BB5ACD" w:rsidRDefault="00BB5ACD" w:rsidP="00BB5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ACD">
        <w:rPr>
          <w:rFonts w:ascii="Arial" w:hAnsi="Arial" w:cs="Arial"/>
          <w:sz w:val="24"/>
          <w:szCs w:val="24"/>
        </w:rPr>
        <w:t>Obzirom na novonastale neplanirane okolnosti i potrebe izazvane ratnim okolnostima u Ukrajini, u razdoblju od travnja do lipnja 2022. godine iz sredstava proračunske zalihe odobreno je sufinanciranje troškova učenicima koji su pod privremenom zaštitom boravili na području Grada Buzeta, a polazili su buzetsku osnovnu školu. Sredstvima proračunske zalihe odobreno je financiranje dviju terenskih nastava jednoj učenici iz Ukrajine te sufinanciranje troškova obroka raseljenim učenicima iz Ukrajine koji su u razdoblju od ožujka do lipnja 2022. bili uključeni u odgojno-obrazovni sustav Osnovne škole „</w:t>
      </w:r>
      <w:proofErr w:type="spellStart"/>
      <w:r w:rsidRPr="00BB5ACD">
        <w:rPr>
          <w:rFonts w:ascii="Arial" w:hAnsi="Arial" w:cs="Arial"/>
          <w:sz w:val="24"/>
          <w:szCs w:val="24"/>
        </w:rPr>
        <w:t>Vazmoslav</w:t>
      </w:r>
      <w:proofErr w:type="spellEnd"/>
      <w:r w:rsidRPr="00BB5A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ACD">
        <w:rPr>
          <w:rFonts w:ascii="Arial" w:hAnsi="Arial" w:cs="Arial"/>
          <w:sz w:val="24"/>
          <w:szCs w:val="24"/>
        </w:rPr>
        <w:t>Gržalja</w:t>
      </w:r>
      <w:proofErr w:type="spellEnd"/>
      <w:r w:rsidRPr="00BB5ACD">
        <w:rPr>
          <w:rFonts w:ascii="Arial" w:hAnsi="Arial" w:cs="Arial"/>
          <w:sz w:val="24"/>
          <w:szCs w:val="24"/>
        </w:rPr>
        <w:t xml:space="preserve">“ Buzet. U razdoblju  do lipnja podmireni su troškovi obroka za 5 učenika. Za navedeno je sveukupno utrošeno 2.251,00 kuna.  </w:t>
      </w:r>
    </w:p>
    <w:p w14:paraId="682E7186" w14:textId="77777777" w:rsidR="00BB5ACD" w:rsidRPr="00022A62" w:rsidRDefault="00BB5ACD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0670AD" w14:textId="662ECCEB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A62">
        <w:rPr>
          <w:rFonts w:ascii="Arial" w:hAnsi="Arial" w:cs="Arial"/>
          <w:b/>
          <w:bCs/>
          <w:sz w:val="24"/>
          <w:szCs w:val="24"/>
        </w:rPr>
        <w:br w:type="page"/>
      </w:r>
    </w:p>
    <w:p w14:paraId="1DF908F3" w14:textId="05FD3817" w:rsidR="00117DA2" w:rsidRPr="00022A62" w:rsidRDefault="001E6E0E" w:rsidP="001E6E0E">
      <w:pPr>
        <w:pStyle w:val="Naslov1"/>
        <w:spacing w:before="0"/>
        <w:rPr>
          <w:rFonts w:cs="Arial"/>
          <w:sz w:val="24"/>
          <w:szCs w:val="24"/>
        </w:rPr>
      </w:pPr>
      <w:bookmarkStart w:id="3" w:name="_Toc115274962"/>
      <w:bookmarkStart w:id="4" w:name="_Toc115441263"/>
      <w:r w:rsidRPr="00022A62">
        <w:rPr>
          <w:rFonts w:cs="Arial"/>
          <w:sz w:val="24"/>
          <w:szCs w:val="24"/>
        </w:rPr>
        <w:lastRenderedPageBreak/>
        <w:t>IZVJEŠTAJ O ZADUŽIVANJU NA DOMAĆEM I STRANOM TRŽIŠTU NOVCA I KAPITALA</w:t>
      </w:r>
      <w:bookmarkEnd w:id="3"/>
      <w:bookmarkEnd w:id="4"/>
    </w:p>
    <w:p w14:paraId="5196B4CC" w14:textId="77777777" w:rsidR="00CB359F" w:rsidRPr="00022A62" w:rsidRDefault="00CB359F" w:rsidP="001E6E0E">
      <w:pPr>
        <w:widowControl w:val="0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9DF84" w14:textId="53D8897D" w:rsidR="00CB359F" w:rsidRPr="00022A62" w:rsidRDefault="00CB359F" w:rsidP="001E6E0E">
      <w:pPr>
        <w:widowControl w:val="0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A62">
        <w:rPr>
          <w:rFonts w:ascii="Arial" w:hAnsi="Arial" w:cs="Arial"/>
          <w:sz w:val="24"/>
          <w:szCs w:val="24"/>
        </w:rPr>
        <w:t xml:space="preserve">Zakonom o proračunu (Narodne novine, broj </w:t>
      </w:r>
      <w:r w:rsidR="0048026B" w:rsidRPr="00022A62">
        <w:rPr>
          <w:rFonts w:ascii="Arial" w:hAnsi="Arial" w:cs="Arial"/>
          <w:sz w:val="24"/>
          <w:szCs w:val="24"/>
        </w:rPr>
        <w:t>144/21</w:t>
      </w:r>
      <w:r w:rsidRPr="00022A62">
        <w:rPr>
          <w:rFonts w:ascii="Arial" w:hAnsi="Arial" w:cs="Arial"/>
          <w:sz w:val="24"/>
          <w:szCs w:val="24"/>
        </w:rPr>
        <w:t>) i Pravilnikom o postupku dugoročnog zaduživanja te davanja jamstava i suglasnosti jedinica lokalne i područne (regionalne) samouprave (</w:t>
      </w:r>
      <w:r w:rsidR="0048026B" w:rsidRPr="00022A62">
        <w:rPr>
          <w:rFonts w:ascii="Arial" w:hAnsi="Arial" w:cs="Arial"/>
          <w:sz w:val="24"/>
          <w:szCs w:val="24"/>
        </w:rPr>
        <w:t xml:space="preserve">Narodne novine, broj </w:t>
      </w:r>
      <w:r w:rsidRPr="00022A62">
        <w:rPr>
          <w:rFonts w:ascii="Arial" w:hAnsi="Arial" w:cs="Arial"/>
          <w:sz w:val="24"/>
          <w:szCs w:val="24"/>
        </w:rPr>
        <w:t>67/22), regulirano je zaduživanje jedinica lokalne i područne (regionalne) samouprave.</w:t>
      </w:r>
    </w:p>
    <w:p w14:paraId="75D906E0" w14:textId="251B9B1A" w:rsidR="00405591" w:rsidRPr="00022A62" w:rsidRDefault="00405591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2FE3C1" w14:textId="2D1E3DF2" w:rsidR="000470B9" w:rsidRPr="000470B9" w:rsidRDefault="000470B9" w:rsidP="001E6E0E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0470B9">
        <w:rPr>
          <w:rFonts w:ascii="Arial" w:hAnsi="Arial" w:cs="Arial"/>
          <w:b/>
          <w:i/>
          <w:iCs/>
          <w:sz w:val="24"/>
          <w:szCs w:val="24"/>
        </w:rPr>
        <w:t>Grad Buzet</w:t>
      </w:r>
    </w:p>
    <w:p w14:paraId="3E424EFC" w14:textId="576DECE8" w:rsidR="00EA3F18" w:rsidRPr="00AF7597" w:rsidRDefault="00E30228" w:rsidP="00AF7597">
      <w:pPr>
        <w:pStyle w:val="Odlomakpopisa"/>
        <w:numPr>
          <w:ilvl w:val="0"/>
          <w:numId w:val="5"/>
        </w:numPr>
        <w:rPr>
          <w:rFonts w:ascii="Arial" w:hAnsi="Arial" w:cs="Arial"/>
          <w:bCs/>
        </w:rPr>
      </w:pPr>
      <w:r w:rsidRPr="00AF7597">
        <w:rPr>
          <w:rFonts w:ascii="Arial" w:hAnsi="Arial" w:cs="Arial"/>
          <w:bCs/>
        </w:rPr>
        <w:t>Kredit: 5.225.000,00 kn</w:t>
      </w:r>
    </w:p>
    <w:p w14:paraId="28988B06" w14:textId="0983C394" w:rsidR="00E30228" w:rsidRPr="00022A62" w:rsidRDefault="00E30228" w:rsidP="001E6E0E">
      <w:pPr>
        <w:pStyle w:val="Odlomakpopisa"/>
        <w:numPr>
          <w:ilvl w:val="0"/>
          <w:numId w:val="5"/>
        </w:numPr>
        <w:rPr>
          <w:rFonts w:ascii="Arial" w:hAnsi="Arial" w:cs="Arial"/>
          <w:bCs/>
        </w:rPr>
      </w:pPr>
      <w:r w:rsidRPr="00022A62">
        <w:rPr>
          <w:rFonts w:ascii="Arial" w:hAnsi="Arial" w:cs="Arial"/>
          <w:bCs/>
        </w:rPr>
        <w:t xml:space="preserve">Dogradnja i rekonstrukcija Dječjeg vrtića sa pristupnom prometnicom </w:t>
      </w:r>
    </w:p>
    <w:p w14:paraId="01828A3A" w14:textId="5CCD00FC" w:rsidR="00E30228" w:rsidRPr="00022A62" w:rsidRDefault="00E30228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6"/>
        <w:gridCol w:w="1902"/>
        <w:gridCol w:w="1508"/>
      </w:tblGrid>
      <w:tr w:rsidR="004D401B" w:rsidRPr="00022A62" w14:paraId="7C637BE4" w14:textId="77777777" w:rsidTr="000F680F">
        <w:trPr>
          <w:trHeight w:val="340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150E" w14:textId="77777777" w:rsidR="004D401B" w:rsidRPr="00022A62" w:rsidRDefault="004D401B" w:rsidP="001E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95A6" w14:textId="661AFAC6" w:rsidR="004D401B" w:rsidRPr="00022A62" w:rsidRDefault="004D401B" w:rsidP="001E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Glavnica 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D9CC" w14:textId="03BF89ED" w:rsidR="004D401B" w:rsidRPr="00022A62" w:rsidRDefault="004D401B" w:rsidP="001E6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Kamate </w:t>
            </w:r>
          </w:p>
        </w:tc>
      </w:tr>
      <w:tr w:rsidR="004D401B" w:rsidRPr="00022A62" w14:paraId="703E0A3A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C7AD" w14:textId="3A214443" w:rsidR="004D401B" w:rsidRPr="00022A62" w:rsidRDefault="004D401B" w:rsidP="004D40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Stanje kredita na dan 31.12.2021.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F669" w14:textId="58D3FD35" w:rsidR="004D401B" w:rsidRPr="00022A62" w:rsidRDefault="004D401B" w:rsidP="004D4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4.702.500,00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0DAF" w14:textId="3CEDF8AF" w:rsidR="004D401B" w:rsidRPr="00022A62" w:rsidRDefault="004D401B" w:rsidP="004D4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F680F" w:rsidRPr="00022A62" w14:paraId="01E6F073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634A" w14:textId="439A1089" w:rsidR="000F680F" w:rsidRDefault="000F680F" w:rsidP="000F68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kvartal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D450" w14:textId="0CED4E86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130.625,00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F760" w14:textId="06EA10F9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12.546,02</w:t>
            </w:r>
          </w:p>
        </w:tc>
      </w:tr>
      <w:tr w:rsidR="000F680F" w:rsidRPr="00022A62" w14:paraId="7B5E598F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09C2" w14:textId="4963A11F" w:rsidR="000F680F" w:rsidRDefault="000F680F" w:rsidP="000F680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 kvartal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30FAC" w14:textId="5C99CCF7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130.625,00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D1C2A" w14:textId="1358F587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13.167,00</w:t>
            </w:r>
          </w:p>
        </w:tc>
      </w:tr>
      <w:tr w:rsidR="000F680F" w:rsidRPr="00022A62" w14:paraId="6BBB63B8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2FA6" w14:textId="63396CA2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</w:t>
            </w: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plaćeno 01-06/2022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D277" w14:textId="2D898E6B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261.250,00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CEE" w14:textId="464D9FA6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25.713,02</w:t>
            </w:r>
          </w:p>
        </w:tc>
      </w:tr>
      <w:tr w:rsidR="000F680F" w:rsidRPr="00022A62" w14:paraId="16485CC0" w14:textId="77777777" w:rsidTr="000F680F">
        <w:trPr>
          <w:trHeight w:val="340"/>
        </w:trPr>
        <w:tc>
          <w:tcPr>
            <w:tcW w:w="3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681B" w14:textId="2055EE78" w:rsidR="000F680F" w:rsidRPr="00022A62" w:rsidRDefault="000F680F" w:rsidP="000F6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Stanje kredita na dan 30.06.2022.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9AC4" w14:textId="21917FEF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22A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4.441.250,00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2B92" w14:textId="311954B2" w:rsidR="000F680F" w:rsidRPr="00022A62" w:rsidRDefault="000F680F" w:rsidP="000F6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3FABB118" w14:textId="38B5AEA0" w:rsidR="000438E1" w:rsidRPr="00022A62" w:rsidRDefault="000438E1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E68F6A" w14:textId="07003527" w:rsidR="00887248" w:rsidRPr="00022A62" w:rsidRDefault="00887248" w:rsidP="001E6E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A62">
        <w:rPr>
          <w:rFonts w:ascii="Arial" w:hAnsi="Arial" w:cs="Arial"/>
          <w:bCs/>
          <w:sz w:val="24"/>
          <w:szCs w:val="24"/>
        </w:rPr>
        <w:t>Grad Buzet otplaćuje dugoročni kredit za Dogradnju i rekonstrukciju Dječjeg vrtića sa pristupnom prometnicom sklopljenog</w:t>
      </w:r>
      <w:r w:rsidR="00956B48" w:rsidRPr="00022A62"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 w:rsidR="00956B48" w:rsidRPr="00022A62">
        <w:rPr>
          <w:rFonts w:ascii="Arial" w:hAnsi="Arial" w:cs="Arial"/>
          <w:sz w:val="24"/>
          <w:szCs w:val="24"/>
        </w:rPr>
        <w:t>Erste&amp;Steiermarkische</w:t>
      </w:r>
      <w:proofErr w:type="spellEnd"/>
      <w:r w:rsidR="00956B48" w:rsidRPr="00022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B48" w:rsidRPr="00022A62">
        <w:rPr>
          <w:rFonts w:ascii="Arial" w:hAnsi="Arial" w:cs="Arial"/>
          <w:sz w:val="24"/>
          <w:szCs w:val="24"/>
        </w:rPr>
        <w:t>bank</w:t>
      </w:r>
      <w:proofErr w:type="spellEnd"/>
      <w:r w:rsidR="00956B48" w:rsidRPr="00022A62">
        <w:rPr>
          <w:rFonts w:ascii="Arial" w:hAnsi="Arial" w:cs="Arial"/>
          <w:sz w:val="24"/>
          <w:szCs w:val="24"/>
        </w:rPr>
        <w:t xml:space="preserve"> d.d.</w:t>
      </w:r>
      <w:r w:rsidRPr="00022A62">
        <w:rPr>
          <w:rFonts w:ascii="Arial" w:hAnsi="Arial" w:cs="Arial"/>
          <w:bCs/>
          <w:sz w:val="24"/>
          <w:szCs w:val="24"/>
        </w:rPr>
        <w:t xml:space="preserve"> </w:t>
      </w:r>
      <w:r w:rsidR="000F340A">
        <w:rPr>
          <w:rFonts w:ascii="Arial" w:hAnsi="Arial" w:cs="Arial"/>
          <w:bCs/>
          <w:sz w:val="24"/>
          <w:szCs w:val="24"/>
        </w:rPr>
        <w:t>dana 20.07.</w:t>
      </w:r>
      <w:r w:rsidRPr="00022A62">
        <w:rPr>
          <w:rFonts w:ascii="Arial" w:hAnsi="Arial" w:cs="Arial"/>
          <w:bCs/>
          <w:sz w:val="24"/>
          <w:szCs w:val="24"/>
        </w:rPr>
        <w:t xml:space="preserve">2020. godine. </w:t>
      </w:r>
      <w:r w:rsidR="00EA3F18" w:rsidRPr="00022A62">
        <w:rPr>
          <w:rFonts w:ascii="Arial" w:hAnsi="Arial" w:cs="Arial"/>
          <w:bCs/>
          <w:sz w:val="24"/>
          <w:szCs w:val="24"/>
        </w:rPr>
        <w:t xml:space="preserve">Ukupni iznos kredita iznosi 5.538.447,62 kn, od čega glavnica 5.225.000,00 kn, a kamata 313.447,62 kn (kamatna stopa 1,12%). Rok otplate kredita je 10 godina, a otplaćuje se u 4 godišnja anuiteta. Rok vraćanja je 31.12.2030. godine. Dobivanju kredita prethodila je </w:t>
      </w:r>
      <w:r w:rsidR="000B04E5" w:rsidRPr="00022A62">
        <w:rPr>
          <w:rFonts w:ascii="Arial" w:hAnsi="Arial" w:cs="Arial"/>
          <w:bCs/>
          <w:sz w:val="24"/>
          <w:szCs w:val="24"/>
        </w:rPr>
        <w:t>Odluka o zaduživanju koje je donijelo Gradsko vijeće</w:t>
      </w:r>
      <w:r w:rsidR="000B04E5">
        <w:rPr>
          <w:rFonts w:ascii="Arial" w:hAnsi="Arial" w:cs="Arial"/>
          <w:bCs/>
          <w:sz w:val="24"/>
          <w:szCs w:val="24"/>
        </w:rPr>
        <w:t xml:space="preserve"> dana 22.04.2020. godine i</w:t>
      </w:r>
      <w:r w:rsidR="000B04E5" w:rsidRPr="00022A62">
        <w:rPr>
          <w:rFonts w:ascii="Arial" w:hAnsi="Arial" w:cs="Arial"/>
          <w:bCs/>
          <w:sz w:val="24"/>
          <w:szCs w:val="24"/>
        </w:rPr>
        <w:t xml:space="preserve"> </w:t>
      </w:r>
      <w:r w:rsidR="00EA3F18" w:rsidRPr="00022A62">
        <w:rPr>
          <w:rFonts w:ascii="Arial" w:hAnsi="Arial" w:cs="Arial"/>
          <w:bCs/>
          <w:sz w:val="24"/>
          <w:szCs w:val="24"/>
        </w:rPr>
        <w:t>suglasnost Vlade RH</w:t>
      </w:r>
      <w:r w:rsidR="000B04E5">
        <w:rPr>
          <w:rFonts w:ascii="Arial" w:hAnsi="Arial" w:cs="Arial"/>
          <w:bCs/>
          <w:sz w:val="24"/>
          <w:szCs w:val="24"/>
        </w:rPr>
        <w:t xml:space="preserve"> od dana 16.07.2020. godine</w:t>
      </w:r>
      <w:r w:rsidR="00EA3F18" w:rsidRPr="00022A62">
        <w:rPr>
          <w:rFonts w:ascii="Arial" w:hAnsi="Arial" w:cs="Arial"/>
          <w:bCs/>
          <w:sz w:val="24"/>
          <w:szCs w:val="24"/>
        </w:rPr>
        <w:t xml:space="preserve">. </w:t>
      </w:r>
      <w:r w:rsidR="00987FB2" w:rsidRPr="00022A62">
        <w:rPr>
          <w:rFonts w:ascii="Arial" w:hAnsi="Arial" w:cs="Arial"/>
          <w:bCs/>
          <w:sz w:val="24"/>
          <w:szCs w:val="24"/>
        </w:rPr>
        <w:t>U razdoblju od 01. siječnja do 30. lipnja iz proračuna je ukupno isplaćeno 261.250,00 kn glavnice, te 25.713,02 kn kamata koje se odnose na navede</w:t>
      </w:r>
      <w:r w:rsidR="00C63A4C" w:rsidRPr="00022A62">
        <w:rPr>
          <w:rFonts w:ascii="Arial" w:hAnsi="Arial" w:cs="Arial"/>
          <w:bCs/>
          <w:sz w:val="24"/>
          <w:szCs w:val="24"/>
        </w:rPr>
        <w:t>n</w:t>
      </w:r>
      <w:r w:rsidR="00987FB2" w:rsidRPr="00022A62">
        <w:rPr>
          <w:rFonts w:ascii="Arial" w:hAnsi="Arial" w:cs="Arial"/>
          <w:bCs/>
          <w:sz w:val="24"/>
          <w:szCs w:val="24"/>
        </w:rPr>
        <w:t xml:space="preserve">i kredit. </w:t>
      </w:r>
    </w:p>
    <w:p w14:paraId="1EF3781F" w14:textId="6DE0D2E4" w:rsidR="00AC7361" w:rsidRDefault="00AC7361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07703C" w14:textId="7A3A4C75" w:rsidR="004B543B" w:rsidRPr="004B543B" w:rsidRDefault="004B543B" w:rsidP="004B543B">
      <w:pPr>
        <w:pStyle w:val="Naslov2"/>
      </w:pPr>
      <w:bookmarkStart w:id="5" w:name="_Toc115441264"/>
      <w:r w:rsidRPr="004B543B">
        <w:t>Ostal</w:t>
      </w:r>
      <w:r>
        <w:t>a zaduženja proračunskih korisnika i trgovačkih društava u vlasništvu Grada Buzeta</w:t>
      </w:r>
      <w:bookmarkEnd w:id="5"/>
    </w:p>
    <w:p w14:paraId="1176BF07" w14:textId="77777777" w:rsidR="004B543B" w:rsidRDefault="004B543B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381D21" w14:textId="373690CB" w:rsidR="00F420BB" w:rsidRPr="000470B9" w:rsidRDefault="00F420BB" w:rsidP="00EC68AA">
      <w:pPr>
        <w:pStyle w:val="Naslov3"/>
      </w:pPr>
      <w:bookmarkStart w:id="6" w:name="_Toc115441265"/>
      <w:r w:rsidRPr="000470B9">
        <w:t>Park d.o.o.</w:t>
      </w:r>
      <w:r w:rsidR="004B543B">
        <w:t xml:space="preserve"> (suglasnost)</w:t>
      </w:r>
      <w:bookmarkEnd w:id="6"/>
    </w:p>
    <w:p w14:paraId="551FDEDA" w14:textId="793F8E87" w:rsidR="00EC68AA" w:rsidRDefault="00EC68AA" w:rsidP="00EC68AA">
      <w:pPr>
        <w:spacing w:after="0" w:line="240" w:lineRule="auto"/>
        <w:rPr>
          <w:rFonts w:ascii="Arial" w:hAnsi="Arial" w:cs="Arial"/>
          <w:bCs/>
        </w:rPr>
      </w:pPr>
    </w:p>
    <w:p w14:paraId="0E038C15" w14:textId="5A5D0C02" w:rsidR="00EC68AA" w:rsidRPr="00152DE3" w:rsidRDefault="00EC68AA" w:rsidP="00E918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2DE3">
        <w:rPr>
          <w:rFonts w:ascii="Arial" w:hAnsi="Arial" w:cs="Arial"/>
          <w:bCs/>
          <w:sz w:val="24"/>
          <w:szCs w:val="24"/>
        </w:rPr>
        <w:t>Proračunskom korisniku Park d.o.o., dana 28.11.2018. godine izdana je suglasnost na zaduženje za kredit za Rekonstrukciju i izgradnju groblja u Buzetu. U razdoblju od 01. siječnja do 30. lipnja 2022. godine otplaćeno je ukupno 217.164,79 kn. U nastavku se daje tablični pregled izvršenih obveza za izvještajno razdoblje.</w:t>
      </w:r>
    </w:p>
    <w:p w14:paraId="6204977A" w14:textId="77777777" w:rsidR="00EC68AA" w:rsidRPr="00152DE3" w:rsidRDefault="00EC68AA" w:rsidP="00E918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BD3C93" w14:textId="0E326BD9" w:rsidR="00172C75" w:rsidRPr="00152DE3" w:rsidRDefault="00172C75" w:rsidP="00E918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2DE3">
        <w:rPr>
          <w:rFonts w:ascii="Arial" w:hAnsi="Arial" w:cs="Arial"/>
          <w:bCs/>
          <w:sz w:val="24"/>
          <w:szCs w:val="24"/>
        </w:rPr>
        <w:t xml:space="preserve">Rekonstrukcija i izgradnja groblja u Buzetu </w:t>
      </w:r>
    </w:p>
    <w:p w14:paraId="77412AB8" w14:textId="77777777" w:rsidR="00EC68AA" w:rsidRPr="00152DE3" w:rsidRDefault="00EC68AA" w:rsidP="00E91805">
      <w:pPr>
        <w:pStyle w:val="Odlomakpopisa"/>
        <w:numPr>
          <w:ilvl w:val="0"/>
          <w:numId w:val="2"/>
        </w:numPr>
        <w:rPr>
          <w:rFonts w:ascii="Arial" w:hAnsi="Arial" w:cs="Arial"/>
          <w:bCs/>
        </w:rPr>
      </w:pPr>
      <w:r w:rsidRPr="00152DE3">
        <w:rPr>
          <w:rFonts w:ascii="Arial" w:hAnsi="Arial" w:cs="Arial"/>
          <w:bCs/>
        </w:rPr>
        <w:t>Iznos kredita: 3.700.000,00 kn</w:t>
      </w:r>
    </w:p>
    <w:p w14:paraId="05968A6B" w14:textId="419D9780" w:rsidR="00172C75" w:rsidRPr="00152DE3" w:rsidRDefault="00172C75" w:rsidP="00E918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123"/>
        <w:gridCol w:w="2171"/>
        <w:gridCol w:w="1722"/>
      </w:tblGrid>
      <w:tr w:rsidR="004D401B" w:rsidRPr="00022A62" w14:paraId="207B88F4" w14:textId="77777777" w:rsidTr="00E825F8">
        <w:trPr>
          <w:trHeight w:val="340"/>
        </w:trPr>
        <w:tc>
          <w:tcPr>
            <w:tcW w:w="2841" w:type="pct"/>
            <w:vAlign w:val="center"/>
          </w:tcPr>
          <w:p w14:paraId="232CFE43" w14:textId="664450AD" w:rsidR="004D401B" w:rsidRPr="00022A62" w:rsidRDefault="004D401B" w:rsidP="00E91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04" w:type="pct"/>
            <w:vAlign w:val="center"/>
          </w:tcPr>
          <w:p w14:paraId="1023107B" w14:textId="56B19BC8" w:rsidR="004D401B" w:rsidRPr="00022A62" w:rsidRDefault="004D401B" w:rsidP="00E91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Glavnica</w:t>
            </w:r>
          </w:p>
        </w:tc>
        <w:tc>
          <w:tcPr>
            <w:tcW w:w="955" w:type="pct"/>
            <w:vAlign w:val="center"/>
          </w:tcPr>
          <w:p w14:paraId="2C3C04BE" w14:textId="76B22E88" w:rsidR="004D401B" w:rsidRPr="00022A62" w:rsidRDefault="004D401B" w:rsidP="00E91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Kamate</w:t>
            </w:r>
          </w:p>
        </w:tc>
      </w:tr>
      <w:tr w:rsidR="004D401B" w:rsidRPr="00022A62" w14:paraId="650B55F6" w14:textId="77777777" w:rsidTr="00E825F8">
        <w:trPr>
          <w:trHeight w:val="340"/>
        </w:trPr>
        <w:tc>
          <w:tcPr>
            <w:tcW w:w="2841" w:type="pct"/>
            <w:vAlign w:val="center"/>
          </w:tcPr>
          <w:p w14:paraId="761CC9A9" w14:textId="2A3B7239" w:rsidR="004D401B" w:rsidRPr="00022A62" w:rsidRDefault="004D401B" w:rsidP="004B54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Stanje kredita na dan </w:t>
            </w:r>
            <w:r w:rsidR="00E825F8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825F8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.202</w:t>
            </w:r>
            <w:r w:rsidR="00E825F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04" w:type="pct"/>
            <w:vAlign w:val="center"/>
          </w:tcPr>
          <w:p w14:paraId="4971530D" w14:textId="08206545" w:rsidR="004D401B" w:rsidRPr="00022A62" w:rsidRDefault="004D401B" w:rsidP="004B54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E825F8">
              <w:rPr>
                <w:rFonts w:ascii="Arial" w:hAnsi="Arial" w:cs="Arial"/>
                <w:bCs/>
                <w:sz w:val="24"/>
                <w:szCs w:val="24"/>
              </w:rPr>
              <w:t>867</w:t>
            </w:r>
            <w:r w:rsidRPr="00022A62">
              <w:rPr>
                <w:rFonts w:ascii="Arial" w:hAnsi="Arial" w:cs="Arial"/>
                <w:bCs/>
                <w:sz w:val="24"/>
                <w:szCs w:val="24"/>
              </w:rPr>
              <w:t>.500,00</w:t>
            </w:r>
          </w:p>
        </w:tc>
        <w:tc>
          <w:tcPr>
            <w:tcW w:w="955" w:type="pct"/>
            <w:vAlign w:val="center"/>
          </w:tcPr>
          <w:p w14:paraId="1B8C00E7" w14:textId="77777777" w:rsidR="004D401B" w:rsidRPr="00022A62" w:rsidRDefault="004D401B" w:rsidP="004B54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234E" w:rsidRPr="0087234E" w14:paraId="6BE3FD7B" w14:textId="77777777" w:rsidTr="00E825F8">
        <w:trPr>
          <w:trHeight w:val="340"/>
        </w:trPr>
        <w:tc>
          <w:tcPr>
            <w:tcW w:w="2841" w:type="pct"/>
            <w:vAlign w:val="center"/>
          </w:tcPr>
          <w:p w14:paraId="45A7F5DF" w14:textId="6304406E" w:rsidR="0087234E" w:rsidRPr="0087234E" w:rsidRDefault="0087234E" w:rsidP="004B543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03/2022</w:t>
            </w:r>
          </w:p>
        </w:tc>
        <w:tc>
          <w:tcPr>
            <w:tcW w:w="1204" w:type="pct"/>
            <w:vAlign w:val="center"/>
          </w:tcPr>
          <w:p w14:paraId="579037D7" w14:textId="265C664A" w:rsidR="0087234E" w:rsidRPr="0087234E" w:rsidRDefault="0087234E" w:rsidP="004B54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234E">
              <w:rPr>
                <w:rFonts w:ascii="Arial" w:hAnsi="Arial" w:cs="Arial"/>
                <w:bCs/>
                <w:sz w:val="24"/>
                <w:szCs w:val="24"/>
              </w:rPr>
              <w:t>92.500,00</w:t>
            </w:r>
          </w:p>
        </w:tc>
        <w:tc>
          <w:tcPr>
            <w:tcW w:w="955" w:type="pct"/>
            <w:vAlign w:val="center"/>
          </w:tcPr>
          <w:p w14:paraId="52BB060D" w14:textId="41CCFA87" w:rsidR="0087234E" w:rsidRPr="0087234E" w:rsidRDefault="0087234E" w:rsidP="004B54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234E">
              <w:rPr>
                <w:rFonts w:ascii="Arial" w:hAnsi="Arial" w:cs="Arial"/>
                <w:bCs/>
                <w:sz w:val="24"/>
                <w:szCs w:val="24"/>
              </w:rPr>
              <w:t>16.252,26</w:t>
            </w:r>
          </w:p>
        </w:tc>
      </w:tr>
      <w:tr w:rsidR="0087234E" w:rsidRPr="0087234E" w14:paraId="677CC738" w14:textId="77777777" w:rsidTr="00E825F8">
        <w:trPr>
          <w:trHeight w:val="340"/>
        </w:trPr>
        <w:tc>
          <w:tcPr>
            <w:tcW w:w="2841" w:type="pct"/>
            <w:vAlign w:val="center"/>
          </w:tcPr>
          <w:p w14:paraId="2CACA357" w14:textId="28DBD4D8" w:rsidR="0087234E" w:rsidRPr="0087234E" w:rsidRDefault="0087234E" w:rsidP="004B543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06/2022</w:t>
            </w:r>
          </w:p>
        </w:tc>
        <w:tc>
          <w:tcPr>
            <w:tcW w:w="1204" w:type="pct"/>
            <w:vAlign w:val="center"/>
          </w:tcPr>
          <w:p w14:paraId="76030EE7" w14:textId="6FB3E39F" w:rsidR="0087234E" w:rsidRPr="0087234E" w:rsidRDefault="0087234E" w:rsidP="004B54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234E">
              <w:rPr>
                <w:rFonts w:ascii="Arial" w:hAnsi="Arial" w:cs="Arial"/>
                <w:bCs/>
                <w:sz w:val="24"/>
                <w:szCs w:val="24"/>
              </w:rPr>
              <w:t>92.500,00</w:t>
            </w:r>
          </w:p>
        </w:tc>
        <w:tc>
          <w:tcPr>
            <w:tcW w:w="955" w:type="pct"/>
            <w:vAlign w:val="center"/>
          </w:tcPr>
          <w:p w14:paraId="6E5FAD00" w14:textId="6330335C" w:rsidR="0087234E" w:rsidRPr="0087234E" w:rsidRDefault="0087234E" w:rsidP="004B54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7234E">
              <w:rPr>
                <w:rFonts w:ascii="Arial" w:hAnsi="Arial" w:cs="Arial"/>
                <w:bCs/>
                <w:sz w:val="24"/>
                <w:szCs w:val="24"/>
              </w:rPr>
              <w:t>15.912,53</w:t>
            </w:r>
          </w:p>
        </w:tc>
      </w:tr>
      <w:tr w:rsidR="0087234E" w:rsidRPr="00022A62" w14:paraId="7DCD47B4" w14:textId="77777777" w:rsidTr="00E825F8">
        <w:trPr>
          <w:trHeight w:val="340"/>
        </w:trPr>
        <w:tc>
          <w:tcPr>
            <w:tcW w:w="2841" w:type="pct"/>
            <w:vAlign w:val="center"/>
          </w:tcPr>
          <w:p w14:paraId="6D385122" w14:textId="4B5917C0" w:rsidR="0087234E" w:rsidRPr="00022A62" w:rsidRDefault="0087234E" w:rsidP="004B5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</w:t>
            </w:r>
            <w:r w:rsidR="004D37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</w:t>
            </w: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plaćeno 01-06/2022</w:t>
            </w:r>
          </w:p>
        </w:tc>
        <w:tc>
          <w:tcPr>
            <w:tcW w:w="1204" w:type="pct"/>
            <w:vAlign w:val="center"/>
          </w:tcPr>
          <w:p w14:paraId="248D8448" w14:textId="5FD76FD6" w:rsidR="0087234E" w:rsidRPr="00022A62" w:rsidRDefault="0087234E" w:rsidP="004B5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185.000,00</w:t>
            </w:r>
          </w:p>
        </w:tc>
        <w:tc>
          <w:tcPr>
            <w:tcW w:w="955" w:type="pct"/>
            <w:vAlign w:val="center"/>
          </w:tcPr>
          <w:p w14:paraId="64188C9B" w14:textId="3CF9A6CD" w:rsidR="0087234E" w:rsidRPr="00022A62" w:rsidRDefault="0087234E" w:rsidP="004B5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32.164,79</w:t>
            </w:r>
          </w:p>
        </w:tc>
      </w:tr>
      <w:tr w:rsidR="0087234E" w:rsidRPr="00022A62" w14:paraId="754ACCE7" w14:textId="77777777" w:rsidTr="00E825F8">
        <w:trPr>
          <w:trHeight w:val="340"/>
        </w:trPr>
        <w:tc>
          <w:tcPr>
            <w:tcW w:w="2841" w:type="pct"/>
            <w:vAlign w:val="center"/>
          </w:tcPr>
          <w:p w14:paraId="680BF332" w14:textId="01EE72D9" w:rsidR="0087234E" w:rsidRPr="00022A62" w:rsidRDefault="0087234E" w:rsidP="0087234E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_Hlk115373923"/>
            <w:r>
              <w:rPr>
                <w:rFonts w:ascii="Arial" w:hAnsi="Arial" w:cs="Arial"/>
                <w:bCs/>
                <w:sz w:val="24"/>
                <w:szCs w:val="24"/>
              </w:rPr>
              <w:t>Stanje kredita na dan 30.06.2022.</w:t>
            </w:r>
          </w:p>
        </w:tc>
        <w:tc>
          <w:tcPr>
            <w:tcW w:w="1204" w:type="pct"/>
            <w:vAlign w:val="center"/>
          </w:tcPr>
          <w:p w14:paraId="2D7DC1D9" w14:textId="6D01EA41" w:rsidR="0087234E" w:rsidRPr="00022A62" w:rsidRDefault="0087234E" w:rsidP="00872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2.682.500,00</w:t>
            </w:r>
          </w:p>
        </w:tc>
        <w:tc>
          <w:tcPr>
            <w:tcW w:w="955" w:type="pct"/>
            <w:vAlign w:val="center"/>
          </w:tcPr>
          <w:p w14:paraId="4C825EE6" w14:textId="77777777" w:rsidR="0087234E" w:rsidRPr="00022A62" w:rsidRDefault="0087234E" w:rsidP="008723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7"/>
    </w:tbl>
    <w:p w14:paraId="194510A1" w14:textId="77777777" w:rsidR="00AF7597" w:rsidRDefault="00AF7597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3DB97C" w14:textId="700BA0F3" w:rsidR="00AC7361" w:rsidRDefault="00AC7361" w:rsidP="00EC68AA">
      <w:pPr>
        <w:pStyle w:val="Naslov3"/>
      </w:pPr>
      <w:bookmarkStart w:id="8" w:name="_Hlk115425175"/>
      <w:bookmarkStart w:id="9" w:name="_Toc115441266"/>
      <w:r w:rsidRPr="000470B9">
        <w:t xml:space="preserve">Dom za starije Buzet </w:t>
      </w:r>
      <w:r w:rsidR="004B543B">
        <w:t>(jamstvo)</w:t>
      </w:r>
      <w:bookmarkEnd w:id="9"/>
    </w:p>
    <w:p w14:paraId="68ACBB7A" w14:textId="0E044CD6" w:rsidR="00EC68AA" w:rsidRDefault="00EC68AA" w:rsidP="001E6E0E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bookmarkStart w:id="10" w:name="_Hlk115436142"/>
    </w:p>
    <w:p w14:paraId="78A925F3" w14:textId="77431A08" w:rsidR="00E91805" w:rsidRPr="00152DE3" w:rsidRDefault="00152DE3" w:rsidP="00E918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2DE3">
        <w:rPr>
          <w:rFonts w:ascii="Arial" w:hAnsi="Arial" w:cs="Arial"/>
          <w:bCs/>
          <w:sz w:val="24"/>
          <w:szCs w:val="24"/>
        </w:rPr>
        <w:t xml:space="preserve">Gradsko vijeće Grada Buzeta je dana 2. ožujka 2022. godine, donijelo je Odluku o davanju jamstva za zaduživanje Doma za starije osobe Buzet za zaduživanje dugoročnim kreditom kod </w:t>
      </w:r>
      <w:proofErr w:type="spellStart"/>
      <w:r w:rsidRPr="00152DE3">
        <w:rPr>
          <w:rFonts w:ascii="Arial" w:hAnsi="Arial" w:cs="Arial"/>
          <w:bCs/>
          <w:sz w:val="24"/>
          <w:szCs w:val="24"/>
        </w:rPr>
        <w:t>Erste&amp;Steiermarkische</w:t>
      </w:r>
      <w:proofErr w:type="spellEnd"/>
      <w:r w:rsidRPr="00152D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52DE3">
        <w:rPr>
          <w:rFonts w:ascii="Arial" w:hAnsi="Arial" w:cs="Arial"/>
          <w:bCs/>
          <w:sz w:val="24"/>
          <w:szCs w:val="24"/>
        </w:rPr>
        <w:t>bank</w:t>
      </w:r>
      <w:proofErr w:type="spellEnd"/>
      <w:r w:rsidRPr="00152DE3">
        <w:rPr>
          <w:rFonts w:ascii="Arial" w:hAnsi="Arial" w:cs="Arial"/>
          <w:bCs/>
          <w:sz w:val="24"/>
          <w:szCs w:val="24"/>
        </w:rPr>
        <w:t xml:space="preserve"> d.d. za dogradnju i rekonstrukciju Doma za starije osobe u iznosu od 11.300.000,00 kuna. </w:t>
      </w:r>
      <w:r w:rsidR="00E91805" w:rsidRPr="00152DE3">
        <w:rPr>
          <w:rFonts w:ascii="Arial" w:hAnsi="Arial" w:cs="Arial"/>
          <w:bCs/>
          <w:sz w:val="24"/>
          <w:szCs w:val="24"/>
        </w:rPr>
        <w:t>Radi Unaprjeđenja i poboljšanja izvaninstitucionalne skrbi za osobe treće životne dobi na području Grada Buzeta, Dom za starije sklopio je Ugovor o zaduženju dana</w:t>
      </w:r>
      <w:r w:rsidR="0030626F" w:rsidRPr="00152DE3">
        <w:rPr>
          <w:rFonts w:ascii="Arial" w:hAnsi="Arial" w:cs="Arial"/>
          <w:bCs/>
          <w:sz w:val="24"/>
          <w:szCs w:val="24"/>
        </w:rPr>
        <w:t xml:space="preserve"> 29.03.</w:t>
      </w:r>
      <w:r w:rsidR="00E91805" w:rsidRPr="00152DE3">
        <w:rPr>
          <w:rFonts w:ascii="Arial" w:hAnsi="Arial" w:cs="Arial"/>
          <w:bCs/>
          <w:sz w:val="24"/>
          <w:szCs w:val="24"/>
        </w:rPr>
        <w:t xml:space="preserve">2022. godine u iznosu 11.300.000,00 kn (glavnica) uvećanog za kamate u iznosu 605.420,42 kn (kamatna stopa iznosi 0,66%), što ukupno iznosi 11.905.420,42 kn. Rok otplate kredita je 15 godina, a otplaćuje se u 4 godišnja anuiteta. Isplata kredita </w:t>
      </w:r>
      <w:r w:rsidR="00955CA4">
        <w:rPr>
          <w:rFonts w:ascii="Arial" w:hAnsi="Arial" w:cs="Arial"/>
          <w:bCs/>
          <w:sz w:val="24"/>
          <w:szCs w:val="24"/>
        </w:rPr>
        <w:t>u izvještajnom periodu nije bila potraživana.</w:t>
      </w:r>
      <w:r w:rsidR="00E91805" w:rsidRPr="00152DE3">
        <w:rPr>
          <w:rFonts w:ascii="Arial" w:hAnsi="Arial" w:cs="Arial"/>
          <w:bCs/>
          <w:sz w:val="24"/>
          <w:szCs w:val="24"/>
        </w:rPr>
        <w:t xml:space="preserve"> </w:t>
      </w:r>
    </w:p>
    <w:p w14:paraId="56046EDB" w14:textId="031D9B7B" w:rsidR="00E91805" w:rsidRDefault="00E91805" w:rsidP="00E91805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565E6993" w14:textId="1C0B110B" w:rsidR="00E91805" w:rsidRPr="00152DE3" w:rsidRDefault="00E91805" w:rsidP="00E9180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2DE3">
        <w:rPr>
          <w:rFonts w:ascii="Arial" w:hAnsi="Arial" w:cs="Arial"/>
          <w:bCs/>
          <w:sz w:val="24"/>
          <w:szCs w:val="24"/>
        </w:rPr>
        <w:t>Unaprjeđenje i poboljšanje izvaninstitucionalne skrbi za osobe treće životne dobi na području Grada Buzeta</w:t>
      </w:r>
    </w:p>
    <w:p w14:paraId="5BAE6ACD" w14:textId="13B90A28" w:rsidR="00172C75" w:rsidRPr="00022A62" w:rsidRDefault="00F44F00" w:rsidP="00E9180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kredita</w:t>
      </w:r>
      <w:r w:rsidR="00172C75" w:rsidRPr="00022A62">
        <w:rPr>
          <w:rFonts w:ascii="Arial" w:hAnsi="Arial" w:cs="Arial"/>
          <w:bCs/>
        </w:rPr>
        <w:t>: 11.300.000,00 kn</w:t>
      </w:r>
    </w:p>
    <w:bookmarkEnd w:id="8"/>
    <w:bookmarkEnd w:id="10"/>
    <w:p w14:paraId="4B4275EE" w14:textId="7921D370" w:rsidR="00F420BB" w:rsidRDefault="00F420BB" w:rsidP="001E6E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B962B4" w14:textId="10B7E189" w:rsidR="004B543B" w:rsidRPr="004B543B" w:rsidRDefault="004B543B" w:rsidP="004B543B">
      <w:pPr>
        <w:pStyle w:val="Naslov2"/>
      </w:pPr>
      <w:bookmarkStart w:id="11" w:name="_Toc115441267"/>
      <w:r w:rsidRPr="004B543B">
        <w:t>Ostal</w:t>
      </w:r>
      <w:r>
        <w:t>e obveze t</w:t>
      </w:r>
      <w:r w:rsidRPr="004B543B">
        <w:t>emeljem ugovora</w:t>
      </w:r>
      <w:r>
        <w:t>/sporazuma</w:t>
      </w:r>
      <w:bookmarkEnd w:id="11"/>
      <w:r w:rsidRPr="004B543B">
        <w:t xml:space="preserve"> </w:t>
      </w:r>
    </w:p>
    <w:p w14:paraId="56BECE01" w14:textId="77777777" w:rsidR="004B543B" w:rsidRPr="00022A62" w:rsidRDefault="004B543B" w:rsidP="001E6E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C810E4" w14:textId="77777777" w:rsidR="002D03ED" w:rsidRDefault="005E2F63" w:rsidP="002D03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 Buzet</w:t>
      </w:r>
      <w:r w:rsidR="00FF436F">
        <w:rPr>
          <w:rFonts w:ascii="Arial" w:hAnsi="Arial" w:cs="Arial"/>
          <w:bCs/>
          <w:sz w:val="24"/>
          <w:szCs w:val="24"/>
        </w:rPr>
        <w:t xml:space="preserve">, </w:t>
      </w:r>
      <w:r w:rsidR="002D03ED">
        <w:rPr>
          <w:rFonts w:ascii="Arial" w:hAnsi="Arial" w:cs="Arial"/>
          <w:bCs/>
          <w:sz w:val="24"/>
          <w:szCs w:val="24"/>
        </w:rPr>
        <w:t xml:space="preserve">uz </w:t>
      </w:r>
      <w:r w:rsidR="00FF436F">
        <w:rPr>
          <w:rFonts w:ascii="Arial" w:hAnsi="Arial" w:cs="Arial"/>
          <w:bCs/>
          <w:sz w:val="24"/>
          <w:szCs w:val="24"/>
        </w:rPr>
        <w:t>ostal</w:t>
      </w:r>
      <w:r w:rsidR="002D03ED">
        <w:rPr>
          <w:rFonts w:ascii="Arial" w:hAnsi="Arial" w:cs="Arial"/>
          <w:bCs/>
          <w:sz w:val="24"/>
          <w:szCs w:val="24"/>
        </w:rPr>
        <w:t>e</w:t>
      </w:r>
      <w:r w:rsidR="00FF436F">
        <w:rPr>
          <w:rFonts w:ascii="Arial" w:hAnsi="Arial" w:cs="Arial"/>
          <w:bCs/>
          <w:sz w:val="24"/>
          <w:szCs w:val="24"/>
        </w:rPr>
        <w:t xml:space="preserve"> jedinic</w:t>
      </w:r>
      <w:r w:rsidR="002D03ED">
        <w:rPr>
          <w:rFonts w:ascii="Arial" w:hAnsi="Arial" w:cs="Arial"/>
          <w:bCs/>
          <w:sz w:val="24"/>
          <w:szCs w:val="24"/>
        </w:rPr>
        <w:t>e</w:t>
      </w:r>
      <w:r w:rsidR="00FF436F">
        <w:rPr>
          <w:rFonts w:ascii="Arial" w:hAnsi="Arial" w:cs="Arial"/>
          <w:bCs/>
          <w:sz w:val="24"/>
          <w:szCs w:val="24"/>
        </w:rPr>
        <w:t xml:space="preserve"> lokaln</w:t>
      </w:r>
      <w:r w:rsidR="002D03ED">
        <w:rPr>
          <w:rFonts w:ascii="Arial" w:hAnsi="Arial" w:cs="Arial"/>
          <w:bCs/>
          <w:sz w:val="24"/>
          <w:szCs w:val="24"/>
        </w:rPr>
        <w:t>e</w:t>
      </w:r>
      <w:r w:rsidR="00FF436F">
        <w:rPr>
          <w:rFonts w:ascii="Arial" w:hAnsi="Arial" w:cs="Arial"/>
          <w:bCs/>
          <w:sz w:val="24"/>
          <w:szCs w:val="24"/>
        </w:rPr>
        <w:t xml:space="preserve"> samouprav</w:t>
      </w:r>
      <w:r w:rsidR="002D03ED">
        <w:rPr>
          <w:rFonts w:ascii="Arial" w:hAnsi="Arial" w:cs="Arial"/>
          <w:bCs/>
          <w:sz w:val="24"/>
          <w:szCs w:val="24"/>
        </w:rPr>
        <w:t>e</w:t>
      </w:r>
      <w:r w:rsidR="00FF436F">
        <w:rPr>
          <w:rFonts w:ascii="Arial" w:hAnsi="Arial" w:cs="Arial"/>
          <w:bCs/>
          <w:sz w:val="24"/>
          <w:szCs w:val="24"/>
        </w:rPr>
        <w:t xml:space="preserve"> na području Istarske županije</w:t>
      </w:r>
      <w:r>
        <w:rPr>
          <w:rFonts w:ascii="Arial" w:hAnsi="Arial" w:cs="Arial"/>
          <w:bCs/>
          <w:sz w:val="24"/>
          <w:szCs w:val="24"/>
        </w:rPr>
        <w:t xml:space="preserve"> ima obvez</w:t>
      </w:r>
      <w:r w:rsidR="002D03ED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F436F">
        <w:rPr>
          <w:rFonts w:ascii="Arial" w:hAnsi="Arial" w:cs="Arial"/>
          <w:bCs/>
          <w:sz w:val="24"/>
          <w:szCs w:val="24"/>
        </w:rPr>
        <w:t xml:space="preserve">uplaćivanja </w:t>
      </w:r>
      <w:r w:rsidR="002D03ED">
        <w:rPr>
          <w:rFonts w:ascii="Arial" w:hAnsi="Arial" w:cs="Arial"/>
          <w:bCs/>
          <w:sz w:val="24"/>
          <w:szCs w:val="24"/>
        </w:rPr>
        <w:t xml:space="preserve">dijela kredita Istarskoj županiji za </w:t>
      </w:r>
      <w:r w:rsidR="00FF436F">
        <w:rPr>
          <w:rFonts w:ascii="Arial" w:hAnsi="Arial" w:cs="Arial"/>
          <w:bCs/>
          <w:sz w:val="24"/>
          <w:szCs w:val="24"/>
        </w:rPr>
        <w:t>d</w:t>
      </w:r>
      <w:r w:rsidR="002D03ED">
        <w:rPr>
          <w:rFonts w:ascii="Arial" w:hAnsi="Arial" w:cs="Arial"/>
          <w:bCs/>
          <w:sz w:val="24"/>
          <w:szCs w:val="24"/>
        </w:rPr>
        <w:t xml:space="preserve">va zaduženja </w:t>
      </w:r>
      <w:r w:rsidR="00FF436F">
        <w:rPr>
          <w:rFonts w:ascii="Arial" w:hAnsi="Arial" w:cs="Arial"/>
          <w:bCs/>
          <w:sz w:val="24"/>
          <w:szCs w:val="24"/>
        </w:rPr>
        <w:t xml:space="preserve">koje je </w:t>
      </w:r>
      <w:r w:rsidR="002D03ED">
        <w:rPr>
          <w:rFonts w:ascii="Arial" w:hAnsi="Arial" w:cs="Arial"/>
          <w:bCs/>
          <w:sz w:val="24"/>
          <w:szCs w:val="24"/>
        </w:rPr>
        <w:t xml:space="preserve">sklopila </w:t>
      </w:r>
      <w:r w:rsidR="00FF436F">
        <w:rPr>
          <w:rFonts w:ascii="Arial" w:hAnsi="Arial" w:cs="Arial"/>
          <w:bCs/>
          <w:sz w:val="24"/>
          <w:szCs w:val="24"/>
        </w:rPr>
        <w:t>Istarska županija sukladno</w:t>
      </w:r>
      <w:r w:rsidR="002D03ED">
        <w:rPr>
          <w:rFonts w:ascii="Arial" w:hAnsi="Arial" w:cs="Arial"/>
          <w:bCs/>
          <w:sz w:val="24"/>
          <w:szCs w:val="24"/>
        </w:rPr>
        <w:t>:</w:t>
      </w:r>
    </w:p>
    <w:p w14:paraId="51DA811C" w14:textId="77777777" w:rsidR="00381172" w:rsidRDefault="00381172" w:rsidP="003811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Sporazumu o preuzimanju dijela kreditne obaveze za izgradnju i opremanje nove Opće bolnice u Puli od strane općina i gradova u Istarskoj županiji od dana 07.11.2016. godine, te</w:t>
      </w:r>
    </w:p>
    <w:p w14:paraId="4697EB2F" w14:textId="77777777" w:rsidR="00381172" w:rsidRDefault="00381172" w:rsidP="003811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2D03ED">
        <w:rPr>
          <w:rFonts w:ascii="Arial" w:hAnsi="Arial" w:cs="Arial"/>
          <w:bCs/>
        </w:rPr>
        <w:t>Sporazumu o zajedničkom sufinanciranju izgradnje županijskog centra za gospodarenje otpadom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Kaštijun</w:t>
      </w:r>
      <w:proofErr w:type="spellEnd"/>
      <w:r>
        <w:rPr>
          <w:rFonts w:ascii="Arial" w:hAnsi="Arial" w:cs="Arial"/>
          <w:bCs/>
        </w:rPr>
        <w:t xml:space="preserve"> od dana 12.12.2011. godine.</w:t>
      </w:r>
    </w:p>
    <w:p w14:paraId="2799810E" w14:textId="48BCF7EB" w:rsidR="002D03ED" w:rsidRDefault="002D03ED" w:rsidP="00CF27A3">
      <w:pPr>
        <w:spacing w:after="0" w:line="240" w:lineRule="auto"/>
        <w:rPr>
          <w:rFonts w:ascii="Arial" w:hAnsi="Arial" w:cs="Arial"/>
          <w:bCs/>
        </w:rPr>
      </w:pPr>
    </w:p>
    <w:p w14:paraId="7B7B4DAE" w14:textId="445FF9FB" w:rsidR="00EC68AA" w:rsidRDefault="00EC68AA" w:rsidP="00EC68AA">
      <w:pPr>
        <w:pStyle w:val="Naslov3"/>
      </w:pPr>
      <w:bookmarkStart w:id="12" w:name="_Toc115441268"/>
      <w:r w:rsidRPr="00CF27A3">
        <w:t>Sufinanciranje izgradnje i opremanja nove opće bolnice u Puli</w:t>
      </w:r>
      <w:bookmarkEnd w:id="12"/>
    </w:p>
    <w:p w14:paraId="2CCEA856" w14:textId="77777777" w:rsidR="00EC68AA" w:rsidRDefault="00EC68AA" w:rsidP="004B54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A20DE1" w14:textId="07333D9E" w:rsidR="00EC68AA" w:rsidRDefault="00EC68AA" w:rsidP="00EC68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Temeljem Ugovora u sufinanciranju dijela kreditne obveze za izgradnju i opremanje nove Opće bolnice od dana 15.05.2019 i Aneksa ugovora od 25.11.2019. godine Gradu Buzetu je utvrđena obveza o sufinanciranju dijela kreditne obveze za izgradnju i opremanje Opće bolnice u Puli. Grad Buzet preuzeo je sukladno Sporazumu preuzeo obvezu za sufinanciranje dijela kreditne obveze za razdoblje od 2018. do 2038. godine koja dospijeva kvartalno, odn</w:t>
      </w:r>
      <w:r w:rsidR="00E9180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sno zadnjeg dana kvartala na koji se odnosi. </w:t>
      </w:r>
    </w:p>
    <w:p w14:paraId="52E04EBB" w14:textId="77777777" w:rsidR="00EC68AA" w:rsidRPr="002D03ED" w:rsidRDefault="00EC68AA" w:rsidP="00EC68AA">
      <w:pPr>
        <w:spacing w:after="0" w:line="240" w:lineRule="auto"/>
        <w:jc w:val="both"/>
        <w:rPr>
          <w:rFonts w:ascii="Arial" w:hAnsi="Arial" w:cs="Arial"/>
          <w:bCs/>
        </w:rPr>
      </w:pPr>
    </w:p>
    <w:p w14:paraId="1D1B0681" w14:textId="31FFE176" w:rsidR="002D03ED" w:rsidRDefault="002D03ED" w:rsidP="00E91805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Ukupna obveza: 1.519.144,71 </w:t>
      </w:r>
      <w:r w:rsidRPr="00022A62">
        <w:rPr>
          <w:rFonts w:ascii="Arial" w:hAnsi="Arial" w:cs="Arial"/>
          <w:bCs/>
        </w:rPr>
        <w:t>kn</w:t>
      </w:r>
    </w:p>
    <w:p w14:paraId="0977BD75" w14:textId="77777777" w:rsidR="00E91805" w:rsidRPr="00022A62" w:rsidRDefault="00E91805" w:rsidP="00E91805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Razdoblje sufinanciranja: 2018. – 2038. godine</w:t>
      </w:r>
    </w:p>
    <w:p w14:paraId="6A02C5C9" w14:textId="77777777" w:rsidR="004B543B" w:rsidRPr="003361D5" w:rsidRDefault="004B543B" w:rsidP="00CF27A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15"/>
        <w:gridCol w:w="2701"/>
      </w:tblGrid>
      <w:tr w:rsidR="002D03ED" w:rsidRPr="00022A62" w14:paraId="7FDD942F" w14:textId="77777777" w:rsidTr="002D03ED">
        <w:trPr>
          <w:trHeight w:val="340"/>
        </w:trPr>
        <w:tc>
          <w:tcPr>
            <w:tcW w:w="3502" w:type="pct"/>
            <w:vAlign w:val="center"/>
          </w:tcPr>
          <w:p w14:paraId="7F9068DE" w14:textId="77777777" w:rsidR="002D03ED" w:rsidRPr="00022A62" w:rsidRDefault="002D03ED" w:rsidP="00104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98" w:type="pct"/>
            <w:vAlign w:val="center"/>
          </w:tcPr>
          <w:p w14:paraId="621405CE" w14:textId="77777777" w:rsidR="002D03ED" w:rsidRPr="00022A62" w:rsidRDefault="002D03ED" w:rsidP="001047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Glavnica</w:t>
            </w:r>
          </w:p>
        </w:tc>
      </w:tr>
      <w:tr w:rsidR="002D03ED" w:rsidRPr="00231475" w14:paraId="748C67AE" w14:textId="77777777" w:rsidTr="002D03ED">
        <w:trPr>
          <w:trHeight w:val="340"/>
        </w:trPr>
        <w:tc>
          <w:tcPr>
            <w:tcW w:w="3502" w:type="pct"/>
            <w:vAlign w:val="center"/>
          </w:tcPr>
          <w:p w14:paraId="728AC2B0" w14:textId="2B69F607" w:rsidR="002D03ED" w:rsidRPr="00231475" w:rsidRDefault="003C0FD7" w:rsidP="001047D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 kvartal</w:t>
            </w:r>
          </w:p>
        </w:tc>
        <w:tc>
          <w:tcPr>
            <w:tcW w:w="1498" w:type="pct"/>
            <w:vAlign w:val="center"/>
          </w:tcPr>
          <w:p w14:paraId="505BBE44" w14:textId="72DC9757" w:rsidR="002D03ED" w:rsidRPr="00231475" w:rsidRDefault="004D37AB" w:rsidP="001047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25.551,74</w:t>
            </w:r>
          </w:p>
        </w:tc>
      </w:tr>
      <w:tr w:rsidR="002D03ED" w:rsidRPr="00231475" w14:paraId="0742091B" w14:textId="77777777" w:rsidTr="002D03ED">
        <w:trPr>
          <w:trHeight w:val="340"/>
        </w:trPr>
        <w:tc>
          <w:tcPr>
            <w:tcW w:w="3502" w:type="pct"/>
            <w:vAlign w:val="center"/>
          </w:tcPr>
          <w:p w14:paraId="49727CC4" w14:textId="306EE253" w:rsidR="002D03ED" w:rsidRPr="00231475" w:rsidRDefault="003C0FD7" w:rsidP="001047D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 kvartal</w:t>
            </w:r>
          </w:p>
        </w:tc>
        <w:tc>
          <w:tcPr>
            <w:tcW w:w="1498" w:type="pct"/>
            <w:vAlign w:val="center"/>
          </w:tcPr>
          <w:p w14:paraId="48293D19" w14:textId="4F6C8481" w:rsidR="002D03ED" w:rsidRPr="00231475" w:rsidRDefault="004D37AB" w:rsidP="004D37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25.551,74</w:t>
            </w:r>
          </w:p>
        </w:tc>
      </w:tr>
      <w:tr w:rsidR="002D03ED" w:rsidRPr="00022A62" w14:paraId="6F5F7626" w14:textId="77777777" w:rsidTr="002D03ED">
        <w:trPr>
          <w:trHeight w:val="340"/>
        </w:trPr>
        <w:tc>
          <w:tcPr>
            <w:tcW w:w="3502" w:type="pct"/>
            <w:vAlign w:val="center"/>
          </w:tcPr>
          <w:p w14:paraId="0B63F766" w14:textId="13142022" w:rsidR="002D03ED" w:rsidRPr="00022A62" w:rsidRDefault="002D03ED" w:rsidP="004D3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r w:rsidR="004D37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</w:t>
            </w: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plaćeno 01-06/2022</w:t>
            </w:r>
          </w:p>
        </w:tc>
        <w:tc>
          <w:tcPr>
            <w:tcW w:w="1498" w:type="pct"/>
            <w:vAlign w:val="center"/>
          </w:tcPr>
          <w:p w14:paraId="1516CC70" w14:textId="4F084EEE" w:rsidR="002D03ED" w:rsidRPr="00022A62" w:rsidRDefault="004D37AB" w:rsidP="001047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51.103,48</w:t>
            </w:r>
          </w:p>
        </w:tc>
      </w:tr>
    </w:tbl>
    <w:p w14:paraId="3DA7D78C" w14:textId="77777777" w:rsidR="00EC68AA" w:rsidRDefault="00EC68AA" w:rsidP="002D03ED">
      <w:pPr>
        <w:spacing w:after="0" w:line="240" w:lineRule="auto"/>
        <w:rPr>
          <w:rFonts w:ascii="Arial" w:hAnsi="Arial" w:cs="Arial"/>
          <w:bCs/>
        </w:rPr>
      </w:pPr>
    </w:p>
    <w:p w14:paraId="04232CC0" w14:textId="53C7C974" w:rsidR="00FF436F" w:rsidRDefault="00EC68AA" w:rsidP="00EC68AA">
      <w:pPr>
        <w:pStyle w:val="Naslov3"/>
        <w:rPr>
          <w:bCs/>
        </w:rPr>
      </w:pPr>
      <w:bookmarkStart w:id="13" w:name="_Toc115441269"/>
      <w:r w:rsidRPr="00CF27A3">
        <w:lastRenderedPageBreak/>
        <w:t xml:space="preserve">Sufinanciranje izgradnje </w:t>
      </w:r>
      <w:r>
        <w:t xml:space="preserve">županijskog centra za gospodarenje otpadom – </w:t>
      </w:r>
      <w:proofErr w:type="spellStart"/>
      <w:r>
        <w:t>Kaštijun</w:t>
      </w:r>
      <w:bookmarkEnd w:id="13"/>
      <w:proofErr w:type="spellEnd"/>
    </w:p>
    <w:p w14:paraId="4EAC443A" w14:textId="2AC31A02" w:rsidR="00EC68AA" w:rsidRDefault="00EC68AA" w:rsidP="004B54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2E648F" w14:textId="40CCFE27" w:rsidR="00E91805" w:rsidRPr="002D03ED" w:rsidRDefault="00381172" w:rsidP="00E91805">
      <w:pPr>
        <w:spacing w:after="0" w:line="240" w:lineRule="auto"/>
        <w:jc w:val="both"/>
        <w:rPr>
          <w:rFonts w:ascii="Arial" w:hAnsi="Arial" w:cs="Arial"/>
          <w:bCs/>
        </w:rPr>
      </w:pPr>
      <w:r w:rsidRPr="00381172">
        <w:rPr>
          <w:rFonts w:ascii="Arial" w:hAnsi="Arial" w:cs="Arial"/>
          <w:bCs/>
        </w:rPr>
        <w:t>Temeljem Ugovora u načinu i uvjetima povrata sredstava u proračun Istarske županije za izgradnju ŽCGO „</w:t>
      </w:r>
      <w:proofErr w:type="spellStart"/>
      <w:r w:rsidRPr="00381172">
        <w:rPr>
          <w:rFonts w:ascii="Arial" w:hAnsi="Arial" w:cs="Arial"/>
          <w:bCs/>
        </w:rPr>
        <w:t>Kaštiju</w:t>
      </w:r>
      <w:proofErr w:type="spellEnd"/>
      <w:r w:rsidRPr="00381172">
        <w:rPr>
          <w:rFonts w:ascii="Arial" w:hAnsi="Arial" w:cs="Arial"/>
          <w:bCs/>
        </w:rPr>
        <w:t>“ od dana 17.10.2016. godine Gradu Buzetu je utvrđena obveza o sufinanciranju dijela kreditne obveze za izgradnju i opremanje Opće bolnice u Puli. Grad Buzet je sukladno Sporazumu preuzeo obvezu za sufinanciranje dijela kreditne obveze za razdoblje od 25 godina.</w:t>
      </w:r>
      <w:r>
        <w:rPr>
          <w:rFonts w:ascii="Arial" w:hAnsi="Arial" w:cs="Arial"/>
          <w:bCs/>
        </w:rPr>
        <w:t xml:space="preserve"> </w:t>
      </w:r>
      <w:r w:rsidR="00BB5ACD">
        <w:rPr>
          <w:rFonts w:ascii="Arial" w:hAnsi="Arial" w:cs="Arial"/>
          <w:bCs/>
        </w:rPr>
        <w:t xml:space="preserve">Obveza za 1. polugodište iznosi 44.364,83 kn, a plaćena je nakon izvještajnog razdoblja. </w:t>
      </w:r>
    </w:p>
    <w:p w14:paraId="1E48CEA0" w14:textId="77777777" w:rsidR="00E91805" w:rsidRDefault="00E91805" w:rsidP="004B54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F264BC" w14:textId="77777777" w:rsidR="00381172" w:rsidRPr="00CF27A3" w:rsidRDefault="00381172" w:rsidP="003811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CF27A3">
        <w:rPr>
          <w:rFonts w:ascii="Arial" w:hAnsi="Arial" w:cs="Arial"/>
          <w:bCs/>
        </w:rPr>
        <w:t xml:space="preserve">Ukupna obveza: </w:t>
      </w:r>
      <w:r>
        <w:rPr>
          <w:rFonts w:ascii="Arial" w:hAnsi="Arial" w:cs="Arial"/>
          <w:bCs/>
        </w:rPr>
        <w:t>1</w:t>
      </w:r>
      <w:r w:rsidRPr="00CF27A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025</w:t>
      </w:r>
      <w:r w:rsidRPr="00CF27A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650,13</w:t>
      </w:r>
      <w:r w:rsidRPr="00CF27A3">
        <w:rPr>
          <w:rFonts w:ascii="Arial" w:hAnsi="Arial" w:cs="Arial"/>
          <w:bCs/>
        </w:rPr>
        <w:t xml:space="preserve"> kn</w:t>
      </w:r>
    </w:p>
    <w:p w14:paraId="3641F735" w14:textId="77777777" w:rsidR="00E91805" w:rsidRPr="00022A62" w:rsidRDefault="00E91805" w:rsidP="00E91805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Razdoblje sufinanciranja: 25 godina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15"/>
        <w:gridCol w:w="2701"/>
      </w:tblGrid>
      <w:tr w:rsidR="00CF27A3" w:rsidRPr="00022A62" w14:paraId="5B136B1A" w14:textId="77777777" w:rsidTr="001047DB">
        <w:trPr>
          <w:trHeight w:val="340"/>
        </w:trPr>
        <w:tc>
          <w:tcPr>
            <w:tcW w:w="3502" w:type="pct"/>
            <w:vAlign w:val="center"/>
          </w:tcPr>
          <w:p w14:paraId="19AE09BA" w14:textId="77777777" w:rsidR="00CF27A3" w:rsidRPr="00022A62" w:rsidRDefault="00CF27A3" w:rsidP="00104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98" w:type="pct"/>
            <w:vAlign w:val="center"/>
          </w:tcPr>
          <w:p w14:paraId="44B7D281" w14:textId="77777777" w:rsidR="00CF27A3" w:rsidRPr="00022A62" w:rsidRDefault="00CF27A3" w:rsidP="001047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/>
                <w:bCs/>
                <w:sz w:val="24"/>
                <w:szCs w:val="24"/>
              </w:rPr>
              <w:t>Glavnica</w:t>
            </w:r>
          </w:p>
        </w:tc>
      </w:tr>
      <w:tr w:rsidR="00CF27A3" w:rsidRPr="00231475" w14:paraId="7279255E" w14:textId="77777777" w:rsidTr="001047DB">
        <w:trPr>
          <w:trHeight w:val="340"/>
        </w:trPr>
        <w:tc>
          <w:tcPr>
            <w:tcW w:w="3502" w:type="pct"/>
            <w:vAlign w:val="center"/>
          </w:tcPr>
          <w:p w14:paraId="1300AA80" w14:textId="366D6348" w:rsidR="00CF27A3" w:rsidRPr="00231475" w:rsidRDefault="00CF27A3" w:rsidP="001047D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</w:t>
            </w:r>
            <w:r w:rsidR="00EC68A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polugodište </w:t>
            </w:r>
          </w:p>
        </w:tc>
        <w:tc>
          <w:tcPr>
            <w:tcW w:w="1498" w:type="pct"/>
            <w:vAlign w:val="center"/>
          </w:tcPr>
          <w:p w14:paraId="1B99B31D" w14:textId="00331975" w:rsidR="00CF27A3" w:rsidRPr="00231475" w:rsidRDefault="00BB5ACD" w:rsidP="001047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F27A3" w:rsidRPr="00022A62" w14:paraId="4F2410C0" w14:textId="77777777" w:rsidTr="001047DB">
        <w:trPr>
          <w:trHeight w:val="340"/>
        </w:trPr>
        <w:tc>
          <w:tcPr>
            <w:tcW w:w="3502" w:type="pct"/>
            <w:vAlign w:val="center"/>
          </w:tcPr>
          <w:p w14:paraId="3BE79071" w14:textId="77777777" w:rsidR="00CF27A3" w:rsidRPr="00022A62" w:rsidRDefault="00CF27A3" w:rsidP="001047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</w:t>
            </w:r>
            <w:r w:rsidRPr="00022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plaćeno 01-06/2022</w:t>
            </w:r>
          </w:p>
        </w:tc>
        <w:tc>
          <w:tcPr>
            <w:tcW w:w="1498" w:type="pct"/>
            <w:vAlign w:val="center"/>
          </w:tcPr>
          <w:p w14:paraId="3D9D1B10" w14:textId="29B969B8" w:rsidR="00CF27A3" w:rsidRPr="00EC68AA" w:rsidRDefault="00BB5ACD" w:rsidP="001047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14:paraId="35A36AB8" w14:textId="77777777" w:rsidR="00CF27A3" w:rsidRDefault="00CF27A3" w:rsidP="00CF27A3">
      <w:pPr>
        <w:spacing w:after="0" w:line="240" w:lineRule="auto"/>
        <w:rPr>
          <w:rFonts w:ascii="Arial" w:hAnsi="Arial" w:cs="Arial"/>
          <w:bCs/>
        </w:rPr>
      </w:pPr>
    </w:p>
    <w:p w14:paraId="2B390F20" w14:textId="47060309" w:rsidR="00FF436F" w:rsidRDefault="00FF436F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AF43E4" w14:textId="7ACC5093" w:rsidR="00FF436F" w:rsidRDefault="00FF436F" w:rsidP="001E6E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CB091A" w14:textId="77777777" w:rsidR="00C63A4C" w:rsidRPr="00022A62" w:rsidRDefault="00C63A4C" w:rsidP="001E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7C016" w14:textId="529BFA7A" w:rsidR="00022A62" w:rsidRPr="00022A62" w:rsidRDefault="00022A62" w:rsidP="001E6E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22A62">
        <w:rPr>
          <w:rFonts w:ascii="Arial" w:hAnsi="Arial" w:cs="Arial"/>
          <w:sz w:val="24"/>
          <w:szCs w:val="24"/>
          <w:lang w:val="en-US"/>
        </w:rPr>
        <w:br w:type="page"/>
      </w:r>
    </w:p>
    <w:p w14:paraId="671809B8" w14:textId="651BE635" w:rsidR="00022A62" w:rsidRPr="00022A62" w:rsidRDefault="001E6E0E" w:rsidP="001E6E0E">
      <w:pPr>
        <w:pStyle w:val="Naslov1"/>
        <w:spacing w:before="0"/>
        <w:rPr>
          <w:rFonts w:cs="Arial"/>
          <w:sz w:val="24"/>
          <w:szCs w:val="24"/>
        </w:rPr>
      </w:pPr>
      <w:bookmarkStart w:id="14" w:name="_Toc115274963"/>
      <w:bookmarkStart w:id="15" w:name="_Toc115441270"/>
      <w:r w:rsidRPr="00022A62">
        <w:rPr>
          <w:rFonts w:cs="Arial"/>
          <w:sz w:val="24"/>
          <w:szCs w:val="24"/>
        </w:rPr>
        <w:lastRenderedPageBreak/>
        <w:t>IZVJEŠTAJ OD DANIM JAMSTVIMA I PLAĆANJIMA PO PROTESTIRANIM JAMSTVIMA</w:t>
      </w:r>
      <w:bookmarkEnd w:id="14"/>
      <w:bookmarkEnd w:id="15"/>
    </w:p>
    <w:p w14:paraId="64FFC317" w14:textId="77777777" w:rsidR="00022A62" w:rsidRPr="00022A62" w:rsidRDefault="00022A62" w:rsidP="001E6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C4357" w14:textId="77777777" w:rsidR="00022A62" w:rsidRPr="00022A62" w:rsidRDefault="00022A62" w:rsidP="001E6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A62">
        <w:rPr>
          <w:rFonts w:ascii="Arial" w:hAnsi="Arial" w:cs="Arial"/>
          <w:sz w:val="24"/>
          <w:szCs w:val="24"/>
        </w:rPr>
        <w:t>Sukladno čl. 129. Zakona o proračunu jedinica lokalne područne (regionalne) samouprave može dati jamstvo za dugoročno zaduživanje proračunskom i izvanproračunskom korisniku jedinice lokalne i područne (regionalne) samouprave, pravnoj osobi u većinskom vlasništvu ili suvlasništvu jedinica lokalne i područne (regionalne) samouprave i ustanovi čiji je osnivač, uz prethodno dobivenu suglasnost ministra financija</w:t>
      </w:r>
    </w:p>
    <w:p w14:paraId="7CE02F5A" w14:textId="77777777" w:rsidR="00022A62" w:rsidRPr="00022A62" w:rsidRDefault="00022A62" w:rsidP="001E6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58C3A" w14:textId="77777777" w:rsidR="00022A62" w:rsidRPr="00022A62" w:rsidRDefault="00022A62" w:rsidP="001E6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A62">
        <w:rPr>
          <w:rFonts w:ascii="Arial" w:hAnsi="Arial" w:cs="Arial"/>
          <w:sz w:val="24"/>
          <w:szCs w:val="24"/>
        </w:rPr>
        <w:t xml:space="preserve">Gradsko vijeće Grada Buzeta na sjednici održanoj </w:t>
      </w:r>
      <w:bookmarkStart w:id="16" w:name="_Hlk115100098"/>
      <w:r w:rsidRPr="00022A62">
        <w:rPr>
          <w:rFonts w:ascii="Arial" w:hAnsi="Arial" w:cs="Arial"/>
          <w:sz w:val="24"/>
          <w:szCs w:val="24"/>
        </w:rPr>
        <w:t xml:space="preserve">dana 2. ožujka 2022. godine, donijelo je </w:t>
      </w:r>
      <w:r w:rsidRPr="00022A62">
        <w:rPr>
          <w:rFonts w:ascii="Arial" w:hAnsi="Arial" w:cs="Arial"/>
          <w:i/>
          <w:iCs/>
          <w:sz w:val="24"/>
          <w:szCs w:val="24"/>
        </w:rPr>
        <w:t>Odluku o davanju jamstva za zaduživanje Domu za starije osobe Buzet</w:t>
      </w:r>
      <w:r w:rsidRPr="00022A62">
        <w:rPr>
          <w:rFonts w:ascii="Arial" w:hAnsi="Arial" w:cs="Arial"/>
          <w:sz w:val="24"/>
          <w:szCs w:val="24"/>
        </w:rPr>
        <w:t xml:space="preserve"> za zaduživanje dugoročnim kreditom kod </w:t>
      </w:r>
      <w:proofErr w:type="spellStart"/>
      <w:r w:rsidRPr="00022A62">
        <w:rPr>
          <w:rFonts w:ascii="Arial" w:hAnsi="Arial" w:cs="Arial"/>
          <w:sz w:val="24"/>
          <w:szCs w:val="24"/>
        </w:rPr>
        <w:t>Erste&amp;Steiermarkische</w:t>
      </w:r>
      <w:proofErr w:type="spellEnd"/>
      <w:r w:rsidRPr="00022A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A62">
        <w:rPr>
          <w:rFonts w:ascii="Arial" w:hAnsi="Arial" w:cs="Arial"/>
          <w:sz w:val="24"/>
          <w:szCs w:val="24"/>
        </w:rPr>
        <w:t>bank</w:t>
      </w:r>
      <w:proofErr w:type="spellEnd"/>
      <w:r w:rsidRPr="00022A62">
        <w:rPr>
          <w:rFonts w:ascii="Arial" w:hAnsi="Arial" w:cs="Arial"/>
          <w:sz w:val="24"/>
          <w:szCs w:val="24"/>
        </w:rPr>
        <w:t xml:space="preserve"> d.d. za dogradnju i rekonstrukciju Doma za starije osobe u iznosu od 11.300.000,00 kuna</w:t>
      </w:r>
      <w:bookmarkEnd w:id="16"/>
      <w:r w:rsidRPr="00022A62">
        <w:rPr>
          <w:rFonts w:ascii="Arial" w:hAnsi="Arial" w:cs="Arial"/>
          <w:sz w:val="24"/>
          <w:szCs w:val="24"/>
        </w:rPr>
        <w:t xml:space="preserve">. Na temelju čl. 129., st. 3 Zakona o proračunu ministar financija dao je suglasnost Gradu Buzetu za davanje jamstva </w:t>
      </w:r>
      <w:proofErr w:type="spellStart"/>
      <w:r w:rsidRPr="00022A62">
        <w:rPr>
          <w:rFonts w:ascii="Arial" w:hAnsi="Arial" w:cs="Arial"/>
          <w:sz w:val="24"/>
          <w:szCs w:val="24"/>
        </w:rPr>
        <w:t>Erste&amp;Steiermarkische</w:t>
      </w:r>
      <w:proofErr w:type="spellEnd"/>
      <w:r w:rsidRPr="00022A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A62">
        <w:rPr>
          <w:rFonts w:ascii="Arial" w:hAnsi="Arial" w:cs="Arial"/>
          <w:sz w:val="24"/>
          <w:szCs w:val="24"/>
        </w:rPr>
        <w:t>bank</w:t>
      </w:r>
      <w:proofErr w:type="spellEnd"/>
      <w:r w:rsidRPr="00022A62">
        <w:rPr>
          <w:rFonts w:ascii="Arial" w:hAnsi="Arial" w:cs="Arial"/>
          <w:sz w:val="24"/>
          <w:szCs w:val="24"/>
        </w:rPr>
        <w:t xml:space="preserve"> d.d. na iznos od 11.300.000,00 kn, uvećanog za pripadajuće troškove za financiranje kapitalnog projekta „</w:t>
      </w:r>
      <w:r w:rsidRPr="00022A62">
        <w:rPr>
          <w:rFonts w:ascii="Arial" w:hAnsi="Arial" w:cs="Arial"/>
          <w:bCs/>
          <w:sz w:val="24"/>
          <w:szCs w:val="24"/>
        </w:rPr>
        <w:t xml:space="preserve">Unaprjeđenje i poboljšanje izvaninstitucionalne skrbi za osobe treće životne dobi na području Grada Buzeta“. </w:t>
      </w:r>
    </w:p>
    <w:p w14:paraId="016162B8" w14:textId="77777777" w:rsidR="00022A62" w:rsidRPr="00022A62" w:rsidRDefault="00022A62" w:rsidP="001E6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4D190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A62">
        <w:rPr>
          <w:rFonts w:ascii="Arial" w:hAnsi="Arial" w:cs="Arial"/>
          <w:sz w:val="24"/>
          <w:szCs w:val="24"/>
        </w:rPr>
        <w:t xml:space="preserve">Tablični prikaz danih suglasnosti/jamstva: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460"/>
        <w:gridCol w:w="3896"/>
      </w:tblGrid>
      <w:tr w:rsidR="00022A62" w:rsidRPr="00022A62" w14:paraId="10533249" w14:textId="77777777" w:rsidTr="00AA0FBE">
        <w:tc>
          <w:tcPr>
            <w:tcW w:w="0" w:type="auto"/>
          </w:tcPr>
          <w:p w14:paraId="09B834F1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Korisnik </w:t>
            </w:r>
          </w:p>
        </w:tc>
        <w:tc>
          <w:tcPr>
            <w:tcW w:w="0" w:type="auto"/>
          </w:tcPr>
          <w:p w14:paraId="7AD3C64B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Park d.o.o.</w:t>
            </w:r>
          </w:p>
        </w:tc>
        <w:tc>
          <w:tcPr>
            <w:tcW w:w="0" w:type="auto"/>
          </w:tcPr>
          <w:p w14:paraId="296B3168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Dom za starije Buzet</w:t>
            </w:r>
          </w:p>
        </w:tc>
      </w:tr>
      <w:tr w:rsidR="00022A62" w:rsidRPr="00022A62" w14:paraId="2A58ACBD" w14:textId="77777777" w:rsidTr="00AA0FBE">
        <w:tc>
          <w:tcPr>
            <w:tcW w:w="0" w:type="auto"/>
          </w:tcPr>
          <w:p w14:paraId="62BCC347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Vrsta zaduženja</w:t>
            </w:r>
          </w:p>
        </w:tc>
        <w:tc>
          <w:tcPr>
            <w:tcW w:w="0" w:type="auto"/>
          </w:tcPr>
          <w:p w14:paraId="7E9C73CC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Suglasnost </w:t>
            </w:r>
          </w:p>
        </w:tc>
        <w:tc>
          <w:tcPr>
            <w:tcW w:w="0" w:type="auto"/>
          </w:tcPr>
          <w:p w14:paraId="531366B9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Jamstvo</w:t>
            </w:r>
          </w:p>
        </w:tc>
      </w:tr>
      <w:tr w:rsidR="00022A62" w:rsidRPr="00022A62" w14:paraId="2CFEDB0F" w14:textId="77777777" w:rsidTr="00AA0FBE">
        <w:tc>
          <w:tcPr>
            <w:tcW w:w="0" w:type="auto"/>
          </w:tcPr>
          <w:p w14:paraId="26E786DC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Namjena </w:t>
            </w:r>
          </w:p>
        </w:tc>
        <w:tc>
          <w:tcPr>
            <w:tcW w:w="0" w:type="auto"/>
          </w:tcPr>
          <w:p w14:paraId="1B2D623E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Rekonstrukcija i izgradnja groblja u Buzetu </w:t>
            </w:r>
          </w:p>
        </w:tc>
        <w:tc>
          <w:tcPr>
            <w:tcW w:w="0" w:type="auto"/>
          </w:tcPr>
          <w:p w14:paraId="371EA078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Unaprjeđenje i poboljšanje izvaninstitucionalne skrbi za osobe treće životne dobi na području Grada Buzeta </w:t>
            </w:r>
          </w:p>
        </w:tc>
      </w:tr>
      <w:tr w:rsidR="00022A62" w:rsidRPr="00022A62" w14:paraId="2172356F" w14:textId="77777777" w:rsidTr="00AA0FBE">
        <w:tc>
          <w:tcPr>
            <w:tcW w:w="0" w:type="auto"/>
          </w:tcPr>
          <w:p w14:paraId="4826A285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Ukupni iznos glavnice zaduženja</w:t>
            </w:r>
          </w:p>
        </w:tc>
        <w:tc>
          <w:tcPr>
            <w:tcW w:w="0" w:type="auto"/>
          </w:tcPr>
          <w:p w14:paraId="0D359A84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3.700.000,00 kn</w:t>
            </w:r>
          </w:p>
        </w:tc>
        <w:tc>
          <w:tcPr>
            <w:tcW w:w="0" w:type="auto"/>
          </w:tcPr>
          <w:p w14:paraId="5C757765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11.300.000,00 kn</w:t>
            </w:r>
          </w:p>
        </w:tc>
      </w:tr>
      <w:tr w:rsidR="00022A62" w:rsidRPr="00022A62" w14:paraId="1E53CE66" w14:textId="77777777" w:rsidTr="00AA0FBE">
        <w:tc>
          <w:tcPr>
            <w:tcW w:w="0" w:type="auto"/>
          </w:tcPr>
          <w:p w14:paraId="3578B1B3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Razdoblje otplate (bez počeka)</w:t>
            </w:r>
          </w:p>
        </w:tc>
        <w:tc>
          <w:tcPr>
            <w:tcW w:w="0" w:type="auto"/>
          </w:tcPr>
          <w:p w14:paraId="7245F9B7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10 godina </w:t>
            </w:r>
          </w:p>
        </w:tc>
        <w:tc>
          <w:tcPr>
            <w:tcW w:w="0" w:type="auto"/>
          </w:tcPr>
          <w:p w14:paraId="0189CB95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 xml:space="preserve">15 godina (60 jednakih tromjesečnih rata) </w:t>
            </w:r>
          </w:p>
        </w:tc>
      </w:tr>
      <w:tr w:rsidR="00022A62" w:rsidRPr="00022A62" w14:paraId="1111CCD6" w14:textId="77777777" w:rsidTr="00AA0FBE">
        <w:tc>
          <w:tcPr>
            <w:tcW w:w="0" w:type="auto"/>
          </w:tcPr>
          <w:p w14:paraId="1021EC89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Udio Grada</w:t>
            </w:r>
          </w:p>
        </w:tc>
        <w:tc>
          <w:tcPr>
            <w:tcW w:w="0" w:type="auto"/>
          </w:tcPr>
          <w:p w14:paraId="007BFBB5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3.700.000,00 kn</w:t>
            </w:r>
          </w:p>
        </w:tc>
        <w:tc>
          <w:tcPr>
            <w:tcW w:w="0" w:type="auto"/>
          </w:tcPr>
          <w:p w14:paraId="2F7405DD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11.300.000,00 kn</w:t>
            </w:r>
          </w:p>
        </w:tc>
      </w:tr>
      <w:tr w:rsidR="00022A62" w:rsidRPr="00022A62" w14:paraId="6E26DD74" w14:textId="77777777" w:rsidTr="0087234E">
        <w:tc>
          <w:tcPr>
            <w:tcW w:w="0" w:type="auto"/>
            <w:vAlign w:val="center"/>
          </w:tcPr>
          <w:p w14:paraId="72EBF765" w14:textId="77777777" w:rsidR="00022A62" w:rsidRPr="00022A62" w:rsidRDefault="00022A62" w:rsidP="008723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Iznos jamstva/suglasnosti (Odluka GV)</w:t>
            </w:r>
          </w:p>
        </w:tc>
        <w:tc>
          <w:tcPr>
            <w:tcW w:w="0" w:type="auto"/>
          </w:tcPr>
          <w:p w14:paraId="617ECCBC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3.700.000,00 kn</w:t>
            </w:r>
          </w:p>
        </w:tc>
        <w:tc>
          <w:tcPr>
            <w:tcW w:w="0" w:type="auto"/>
          </w:tcPr>
          <w:p w14:paraId="588129A1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11.300.000,00 kn</w:t>
            </w:r>
          </w:p>
        </w:tc>
      </w:tr>
      <w:tr w:rsidR="00022A62" w:rsidRPr="00022A62" w14:paraId="6EFCCFF0" w14:textId="77777777" w:rsidTr="00AA0FBE">
        <w:tc>
          <w:tcPr>
            <w:tcW w:w="0" w:type="auto"/>
          </w:tcPr>
          <w:p w14:paraId="640A8E6B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Napomena</w:t>
            </w:r>
          </w:p>
        </w:tc>
        <w:tc>
          <w:tcPr>
            <w:tcW w:w="0" w:type="auto"/>
          </w:tcPr>
          <w:p w14:paraId="040692A4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Otplata kredita se osigurava iz sredstava proračuna</w:t>
            </w:r>
          </w:p>
        </w:tc>
        <w:tc>
          <w:tcPr>
            <w:tcW w:w="0" w:type="auto"/>
          </w:tcPr>
          <w:p w14:paraId="0B34430C" w14:textId="77777777" w:rsidR="00022A62" w:rsidRPr="00022A62" w:rsidRDefault="00022A62" w:rsidP="001E6E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2A62">
              <w:rPr>
                <w:rFonts w:ascii="Arial" w:hAnsi="Arial" w:cs="Arial"/>
                <w:bCs/>
                <w:sz w:val="24"/>
                <w:szCs w:val="24"/>
              </w:rPr>
              <w:t>Otplata kredita se osigurava iz sredstava EU, dok se razlika neprihvatljivih troškova osigurava u proračunu</w:t>
            </w:r>
          </w:p>
        </w:tc>
      </w:tr>
    </w:tbl>
    <w:p w14:paraId="73C22D4F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512B1A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F8AF0" w14:textId="77777777" w:rsidR="00022A62" w:rsidRPr="00022A62" w:rsidRDefault="00022A62" w:rsidP="001E6E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E50DEF" w14:textId="77777777" w:rsidR="00C63A4C" w:rsidRPr="00022A62" w:rsidRDefault="00C63A4C" w:rsidP="001E6E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C63A4C" w:rsidRPr="00022A62" w:rsidSect="00555491"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0E89" w14:textId="77777777" w:rsidR="00374581" w:rsidRDefault="00374581" w:rsidP="00555491">
      <w:pPr>
        <w:spacing w:after="0" w:line="240" w:lineRule="auto"/>
      </w:pPr>
      <w:r>
        <w:separator/>
      </w:r>
    </w:p>
  </w:endnote>
  <w:endnote w:type="continuationSeparator" w:id="0">
    <w:p w14:paraId="202A154B" w14:textId="77777777" w:rsidR="00374581" w:rsidRDefault="00374581" w:rsidP="0055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64863788"/>
      <w:docPartObj>
        <w:docPartGallery w:val="Page Numbers (Bottom of Page)"/>
        <w:docPartUnique/>
      </w:docPartObj>
    </w:sdtPr>
    <w:sdtContent>
      <w:p w14:paraId="635D7187" w14:textId="0134CAC6" w:rsidR="007353A9" w:rsidRPr="00152DE3" w:rsidRDefault="007353A9" w:rsidP="00152DE3">
        <w:pPr>
          <w:pStyle w:val="Podnoje"/>
          <w:jc w:val="center"/>
          <w:rPr>
            <w:rFonts w:ascii="Arial" w:hAnsi="Arial" w:cs="Arial"/>
          </w:rPr>
        </w:pPr>
        <w:r w:rsidRPr="00152DE3">
          <w:rPr>
            <w:rFonts w:ascii="Arial" w:hAnsi="Arial" w:cs="Arial"/>
          </w:rPr>
          <w:fldChar w:fldCharType="begin"/>
        </w:r>
        <w:r w:rsidRPr="00152DE3">
          <w:rPr>
            <w:rFonts w:ascii="Arial" w:hAnsi="Arial" w:cs="Arial"/>
          </w:rPr>
          <w:instrText>PAGE   \* MERGEFORMAT</w:instrText>
        </w:r>
        <w:r w:rsidRPr="00152DE3">
          <w:rPr>
            <w:rFonts w:ascii="Arial" w:hAnsi="Arial" w:cs="Arial"/>
          </w:rPr>
          <w:fldChar w:fldCharType="separate"/>
        </w:r>
        <w:r w:rsidRPr="00152DE3">
          <w:rPr>
            <w:rFonts w:ascii="Arial" w:hAnsi="Arial" w:cs="Arial"/>
          </w:rPr>
          <w:t>2</w:t>
        </w:r>
        <w:r w:rsidRPr="00152DE3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49201022"/>
      <w:docPartObj>
        <w:docPartGallery w:val="Page Numbers (Bottom of Page)"/>
        <w:docPartUnique/>
      </w:docPartObj>
    </w:sdtPr>
    <w:sdtContent>
      <w:p w14:paraId="0F1CF11B" w14:textId="1927A6F3" w:rsidR="00555491" w:rsidRPr="00BB5ACD" w:rsidRDefault="007353A9" w:rsidP="00BB5ACD">
        <w:pPr>
          <w:pStyle w:val="Podnoje"/>
          <w:jc w:val="center"/>
          <w:rPr>
            <w:rFonts w:ascii="Arial" w:hAnsi="Arial" w:cs="Arial"/>
          </w:rPr>
        </w:pPr>
        <w:r w:rsidRPr="00BB5ACD">
          <w:rPr>
            <w:rFonts w:ascii="Arial" w:hAnsi="Arial" w:cs="Arial"/>
          </w:rPr>
          <w:fldChar w:fldCharType="begin"/>
        </w:r>
        <w:r w:rsidRPr="00BB5ACD">
          <w:rPr>
            <w:rFonts w:ascii="Arial" w:hAnsi="Arial" w:cs="Arial"/>
          </w:rPr>
          <w:instrText>PAGE   \* MERGEFORMAT</w:instrText>
        </w:r>
        <w:r w:rsidRPr="00BB5ACD">
          <w:rPr>
            <w:rFonts w:ascii="Arial" w:hAnsi="Arial" w:cs="Arial"/>
          </w:rPr>
          <w:fldChar w:fldCharType="separate"/>
        </w:r>
        <w:r w:rsidRPr="00BB5ACD">
          <w:rPr>
            <w:rFonts w:ascii="Arial" w:hAnsi="Arial" w:cs="Arial"/>
          </w:rPr>
          <w:t>2</w:t>
        </w:r>
        <w:r w:rsidRPr="00BB5AC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554B" w14:textId="77777777" w:rsidR="00374581" w:rsidRDefault="00374581" w:rsidP="00555491">
      <w:pPr>
        <w:spacing w:after="0" w:line="240" w:lineRule="auto"/>
      </w:pPr>
      <w:r>
        <w:separator/>
      </w:r>
    </w:p>
  </w:footnote>
  <w:footnote w:type="continuationSeparator" w:id="0">
    <w:p w14:paraId="21658360" w14:textId="77777777" w:rsidR="00374581" w:rsidRDefault="00374581" w:rsidP="0055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A5B"/>
    <w:multiLevelType w:val="hybridMultilevel"/>
    <w:tmpl w:val="AFC0F14A"/>
    <w:lvl w:ilvl="0" w:tplc="C868EDE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26169"/>
    <w:multiLevelType w:val="hybridMultilevel"/>
    <w:tmpl w:val="2D06AA9C"/>
    <w:lvl w:ilvl="0" w:tplc="E8F6E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865"/>
    <w:multiLevelType w:val="hybridMultilevel"/>
    <w:tmpl w:val="57689E84"/>
    <w:lvl w:ilvl="0" w:tplc="80E8C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5440"/>
    <w:multiLevelType w:val="multilevel"/>
    <w:tmpl w:val="2EAA98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6F3965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2A39E3"/>
    <w:multiLevelType w:val="hybridMultilevel"/>
    <w:tmpl w:val="88A6D88E"/>
    <w:lvl w:ilvl="0" w:tplc="608E8C3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833B99"/>
    <w:multiLevelType w:val="hybridMultilevel"/>
    <w:tmpl w:val="7026CE18"/>
    <w:lvl w:ilvl="0" w:tplc="21701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17821">
    <w:abstractNumId w:val="6"/>
  </w:num>
  <w:num w:numId="2" w16cid:durableId="1218008606">
    <w:abstractNumId w:val="2"/>
  </w:num>
  <w:num w:numId="3" w16cid:durableId="747045657">
    <w:abstractNumId w:val="5"/>
  </w:num>
  <w:num w:numId="4" w16cid:durableId="220872127">
    <w:abstractNumId w:val="0"/>
  </w:num>
  <w:num w:numId="5" w16cid:durableId="944654452">
    <w:abstractNumId w:val="1"/>
  </w:num>
  <w:num w:numId="6" w16cid:durableId="730812345">
    <w:abstractNumId w:val="3"/>
  </w:num>
  <w:num w:numId="7" w16cid:durableId="62443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53"/>
    <w:rsid w:val="00022A62"/>
    <w:rsid w:val="000438E1"/>
    <w:rsid w:val="000470B9"/>
    <w:rsid w:val="00077E90"/>
    <w:rsid w:val="000B04E5"/>
    <w:rsid w:val="000C3CEC"/>
    <w:rsid w:val="000F340A"/>
    <w:rsid w:val="000F680F"/>
    <w:rsid w:val="00117DA2"/>
    <w:rsid w:val="00140383"/>
    <w:rsid w:val="00152DE3"/>
    <w:rsid w:val="00166615"/>
    <w:rsid w:val="00172C75"/>
    <w:rsid w:val="001E6E0E"/>
    <w:rsid w:val="0022536C"/>
    <w:rsid w:val="00231475"/>
    <w:rsid w:val="002602E4"/>
    <w:rsid w:val="002D03ED"/>
    <w:rsid w:val="0030626F"/>
    <w:rsid w:val="003361D5"/>
    <w:rsid w:val="00374581"/>
    <w:rsid w:val="00381172"/>
    <w:rsid w:val="00393681"/>
    <w:rsid w:val="003C0FD7"/>
    <w:rsid w:val="003E759B"/>
    <w:rsid w:val="003F2A80"/>
    <w:rsid w:val="00405591"/>
    <w:rsid w:val="00412833"/>
    <w:rsid w:val="00432353"/>
    <w:rsid w:val="00472DD5"/>
    <w:rsid w:val="0048026B"/>
    <w:rsid w:val="004B543B"/>
    <w:rsid w:val="004D37AB"/>
    <w:rsid w:val="004D401B"/>
    <w:rsid w:val="00555491"/>
    <w:rsid w:val="00555D5B"/>
    <w:rsid w:val="005611BC"/>
    <w:rsid w:val="00577703"/>
    <w:rsid w:val="005C0341"/>
    <w:rsid w:val="005D0131"/>
    <w:rsid w:val="005E2F63"/>
    <w:rsid w:val="0063346A"/>
    <w:rsid w:val="00642A1C"/>
    <w:rsid w:val="006447F9"/>
    <w:rsid w:val="00650929"/>
    <w:rsid w:val="00671A98"/>
    <w:rsid w:val="006E2CCF"/>
    <w:rsid w:val="0073080B"/>
    <w:rsid w:val="007353A9"/>
    <w:rsid w:val="0087234E"/>
    <w:rsid w:val="00887248"/>
    <w:rsid w:val="008C2D16"/>
    <w:rsid w:val="00955CA4"/>
    <w:rsid w:val="00956B48"/>
    <w:rsid w:val="00987FB2"/>
    <w:rsid w:val="00AC7361"/>
    <w:rsid w:val="00AD5C30"/>
    <w:rsid w:val="00AF7597"/>
    <w:rsid w:val="00BB5ACD"/>
    <w:rsid w:val="00C63A4C"/>
    <w:rsid w:val="00C947E2"/>
    <w:rsid w:val="00CB359F"/>
    <w:rsid w:val="00CF27A3"/>
    <w:rsid w:val="00D369A4"/>
    <w:rsid w:val="00E24861"/>
    <w:rsid w:val="00E25AF2"/>
    <w:rsid w:val="00E30228"/>
    <w:rsid w:val="00E825F8"/>
    <w:rsid w:val="00E91805"/>
    <w:rsid w:val="00EA3F18"/>
    <w:rsid w:val="00EC68AA"/>
    <w:rsid w:val="00F35B1F"/>
    <w:rsid w:val="00F420BB"/>
    <w:rsid w:val="00F44F00"/>
    <w:rsid w:val="00FD20EB"/>
    <w:rsid w:val="00FE404D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1113"/>
  <w15:chartTrackingRefBased/>
  <w15:docId w15:val="{173D98CE-81E6-4383-8778-F777EAD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ED"/>
  </w:style>
  <w:style w:type="paragraph" w:styleId="Naslov1">
    <w:name w:val="heading 1"/>
    <w:basedOn w:val="Normal"/>
    <w:next w:val="Normal"/>
    <w:link w:val="Naslov1Char"/>
    <w:uiPriority w:val="9"/>
    <w:qFormat/>
    <w:rsid w:val="00022A62"/>
    <w:pPr>
      <w:keepNext/>
      <w:keepLines/>
      <w:numPr>
        <w:numId w:val="7"/>
      </w:numPr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5491"/>
    <w:pPr>
      <w:keepNext/>
      <w:keepLines/>
      <w:numPr>
        <w:ilvl w:val="1"/>
        <w:numId w:val="7"/>
      </w:numPr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68AA"/>
    <w:pPr>
      <w:keepNext/>
      <w:keepLines/>
      <w:numPr>
        <w:ilvl w:val="2"/>
        <w:numId w:val="7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A62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A6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A6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A6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A6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A6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05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4055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5591"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rsid w:val="0040559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91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20B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20BB"/>
    <w:rPr>
      <w:rFonts w:ascii="Calibri" w:eastAsia="Calibri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17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22A62"/>
    <w:rPr>
      <w:rFonts w:ascii="Arial" w:eastAsiaTheme="majorEastAsia" w:hAnsi="Arial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55491"/>
    <w:rPr>
      <w:rFonts w:ascii="Arial" w:eastAsiaTheme="majorEastAsia" w:hAnsi="Arial" w:cstheme="majorBidi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C68AA"/>
    <w:rPr>
      <w:rFonts w:ascii="Arial" w:eastAsiaTheme="majorEastAsia" w:hAnsi="Arial" w:cstheme="majorBidi"/>
      <w:b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A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A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A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A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A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A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022A6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81172"/>
    <w:pPr>
      <w:tabs>
        <w:tab w:val="left" w:pos="440"/>
        <w:tab w:val="right" w:leader="dot" w:pos="9016"/>
      </w:tabs>
      <w:spacing w:after="0" w:line="360" w:lineRule="auto"/>
    </w:pPr>
    <w:rPr>
      <w:rFonts w:ascii="Arial" w:hAnsi="Arial" w:cs="Arial"/>
      <w:b/>
      <w:bCs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22A6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5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491"/>
  </w:style>
  <w:style w:type="paragraph" w:styleId="Podnoje">
    <w:name w:val="footer"/>
    <w:basedOn w:val="Normal"/>
    <w:link w:val="PodnojeChar"/>
    <w:uiPriority w:val="99"/>
    <w:unhideWhenUsed/>
    <w:rsid w:val="0055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491"/>
  </w:style>
  <w:style w:type="paragraph" w:styleId="Sadraj2">
    <w:name w:val="toc 2"/>
    <w:basedOn w:val="Normal"/>
    <w:next w:val="Normal"/>
    <w:autoRedefine/>
    <w:uiPriority w:val="39"/>
    <w:unhideWhenUsed/>
    <w:rsid w:val="004B543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EC68A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D5B2-63D1-4B39-9504-4355760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</dc:creator>
  <cp:keywords/>
  <dc:description/>
  <cp:lastModifiedBy>Reana Glavić Jačić</cp:lastModifiedBy>
  <cp:revision>2</cp:revision>
  <cp:lastPrinted>2022-09-30T11:52:00Z</cp:lastPrinted>
  <dcterms:created xsi:type="dcterms:W3CDTF">2022-09-30T12:43:00Z</dcterms:created>
  <dcterms:modified xsi:type="dcterms:W3CDTF">2022-09-30T12:43:00Z</dcterms:modified>
</cp:coreProperties>
</file>